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B4" w:rsidRDefault="00A510B4" w:rsidP="00A510B4">
      <w:pPr>
        <w:outlineLvl w:val="0"/>
        <w:rPr>
          <w:b/>
          <w:sz w:val="22"/>
          <w:szCs w:val="28"/>
        </w:rPr>
      </w:pPr>
      <w:r>
        <w:rPr>
          <w:noProof/>
          <w:lang w:eastAsia="nl-NL"/>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-571500</wp:posOffset>
            </wp:positionV>
            <wp:extent cx="2115185" cy="289560"/>
            <wp:effectExtent l="0" t="0" r="0" b="0"/>
            <wp:wrapTight wrapText="bothSides">
              <wp:wrapPolygon edited="0">
                <wp:start x="0" y="0"/>
                <wp:lineTo x="0" y="19895"/>
                <wp:lineTo x="21399" y="19895"/>
                <wp:lineTo x="2139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185" cy="28956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MEMO: </w:t>
      </w:r>
      <w:r>
        <w:rPr>
          <w:b/>
          <w:sz w:val="22"/>
          <w:szCs w:val="28"/>
        </w:rPr>
        <w:t xml:space="preserve">Advies registratie referentie architectuur </w:t>
      </w:r>
      <w:r w:rsidR="00B863BF">
        <w:rPr>
          <w:b/>
          <w:sz w:val="22"/>
          <w:szCs w:val="28"/>
        </w:rPr>
        <w:t>HORA v1.0</w:t>
      </w:r>
      <w:r>
        <w:rPr>
          <w:b/>
          <w:sz w:val="22"/>
          <w:szCs w:val="28"/>
        </w:rPr>
        <w:t xml:space="preserve"> o.b.v. ES kwaliteitscriteria </w:t>
      </w:r>
    </w:p>
    <w:p w:rsidR="00A510B4" w:rsidRDefault="00A510B4" w:rsidP="00A510B4">
      <w:pPr>
        <w:rPr>
          <w:b/>
          <w:sz w:val="22"/>
          <w:szCs w:val="22"/>
        </w:rPr>
      </w:pPr>
    </w:p>
    <w:p w:rsidR="00A510B4" w:rsidRDefault="00A510B4" w:rsidP="00A510B4">
      <w:pPr>
        <w:rPr>
          <w:sz w:val="17"/>
          <w:szCs w:val="17"/>
        </w:rPr>
      </w:pPr>
      <w:r>
        <w:rPr>
          <w:sz w:val="17"/>
          <w:szCs w:val="17"/>
        </w:rPr>
        <w:t>Voor:</w:t>
      </w:r>
      <w:r>
        <w:rPr>
          <w:sz w:val="17"/>
          <w:szCs w:val="17"/>
        </w:rPr>
        <w:tab/>
      </w:r>
      <w:r>
        <w:rPr>
          <w:sz w:val="17"/>
          <w:szCs w:val="17"/>
        </w:rPr>
        <w:tab/>
        <w:t>De architectuurraad van 9 oktober 2014</w:t>
      </w:r>
    </w:p>
    <w:p w:rsidR="00A510B4" w:rsidRDefault="00A510B4" w:rsidP="00A510B4">
      <w:pPr>
        <w:outlineLvl w:val="0"/>
        <w:rPr>
          <w:sz w:val="17"/>
          <w:szCs w:val="17"/>
        </w:rPr>
      </w:pPr>
      <w:r>
        <w:rPr>
          <w:sz w:val="17"/>
          <w:szCs w:val="17"/>
        </w:rPr>
        <w:t>Van:</w:t>
      </w:r>
      <w:r>
        <w:rPr>
          <w:sz w:val="17"/>
          <w:szCs w:val="17"/>
        </w:rPr>
        <w:tab/>
      </w:r>
      <w:r>
        <w:rPr>
          <w:sz w:val="17"/>
          <w:szCs w:val="17"/>
        </w:rPr>
        <w:tab/>
        <w:t>Bureau Edustandaard</w:t>
      </w:r>
      <w:r w:rsidR="005D5699">
        <w:rPr>
          <w:sz w:val="17"/>
          <w:szCs w:val="17"/>
        </w:rPr>
        <w:t xml:space="preserve"> (BES)</w:t>
      </w:r>
    </w:p>
    <w:p w:rsidR="00A510B4" w:rsidRDefault="00A510B4" w:rsidP="00A510B4">
      <w:pPr>
        <w:outlineLvl w:val="0"/>
        <w:rPr>
          <w:sz w:val="17"/>
          <w:szCs w:val="17"/>
        </w:rPr>
      </w:pPr>
      <w:r>
        <w:rPr>
          <w:sz w:val="17"/>
          <w:szCs w:val="17"/>
        </w:rPr>
        <w:t>Datum advies:</w:t>
      </w:r>
      <w:r>
        <w:rPr>
          <w:sz w:val="17"/>
          <w:szCs w:val="17"/>
        </w:rPr>
        <w:tab/>
        <w:t>23 september 2014</w:t>
      </w:r>
    </w:p>
    <w:p w:rsidR="00A510B4" w:rsidRDefault="00A510B4" w:rsidP="00A510B4">
      <w:pPr>
        <w:pBdr>
          <w:bottom w:val="single" w:sz="6" w:space="1" w:color="auto"/>
        </w:pBdr>
        <w:rPr>
          <w:sz w:val="17"/>
          <w:szCs w:val="17"/>
        </w:rPr>
      </w:pPr>
      <w:r>
        <w:rPr>
          <w:sz w:val="17"/>
          <w:szCs w:val="17"/>
        </w:rPr>
        <w:t>Onderwerp:</w:t>
      </w:r>
      <w:r>
        <w:rPr>
          <w:sz w:val="17"/>
          <w:szCs w:val="17"/>
        </w:rPr>
        <w:tab/>
        <w:t xml:space="preserve">Advies registratie referentie architectuur HORA </w:t>
      </w:r>
      <w:r w:rsidR="00B863BF">
        <w:rPr>
          <w:sz w:val="17"/>
          <w:szCs w:val="17"/>
        </w:rPr>
        <w:t>v</w:t>
      </w:r>
      <w:r>
        <w:rPr>
          <w:sz w:val="17"/>
          <w:szCs w:val="17"/>
        </w:rPr>
        <w:t>1.0</w:t>
      </w:r>
    </w:p>
    <w:p w:rsidR="00A510B4" w:rsidRDefault="00A510B4" w:rsidP="00A510B4">
      <w:pPr>
        <w:rPr>
          <w:b/>
          <w:sz w:val="22"/>
          <w:szCs w:val="22"/>
        </w:rPr>
      </w:pPr>
    </w:p>
    <w:tbl>
      <w:tblPr>
        <w:tblStyle w:val="Tabelraster"/>
        <w:tblW w:w="8679" w:type="dxa"/>
        <w:tblInd w:w="598" w:type="dxa"/>
        <w:tblLook w:val="04A0" w:firstRow="1" w:lastRow="0" w:firstColumn="1" w:lastColumn="0" w:noHBand="0" w:noVBand="1"/>
      </w:tblPr>
      <w:tblGrid>
        <w:gridCol w:w="8688"/>
      </w:tblGrid>
      <w:tr w:rsidR="007405B2" w:rsidTr="007405B2">
        <w:tc>
          <w:tcPr>
            <w:tcW w:w="8679" w:type="dxa"/>
            <w:shd w:val="clear" w:color="auto" w:fill="D9D9D9" w:themeFill="background1" w:themeFillShade="D9"/>
          </w:tcPr>
          <w:p w:rsidR="007405B2" w:rsidRPr="005A0009" w:rsidRDefault="007405B2" w:rsidP="005A0009">
            <w:pPr>
              <w:tabs>
                <w:tab w:val="left" w:leader="dot" w:pos="7907"/>
              </w:tabs>
              <w:spacing w:after="0"/>
              <w:ind w:left="2127"/>
              <w:rPr>
                <w:i/>
                <w:color w:val="000000"/>
                <w:sz w:val="17"/>
                <w:szCs w:val="17"/>
              </w:rPr>
            </w:pPr>
            <w:r w:rsidRPr="005A0009">
              <w:rPr>
                <w:i/>
                <w:color w:val="000000"/>
                <w:sz w:val="17"/>
                <w:szCs w:val="17"/>
              </w:rPr>
              <w:t>Inhoud</w:t>
            </w:r>
            <w:r w:rsidR="005A0009" w:rsidRPr="005A0009">
              <w:rPr>
                <w:i/>
                <w:color w:val="000000"/>
                <w:sz w:val="17"/>
                <w:szCs w:val="17"/>
              </w:rPr>
              <w:tab/>
              <w:t>1</w:t>
            </w:r>
          </w:p>
          <w:p w:rsidR="007405B2" w:rsidRPr="005A0009" w:rsidRDefault="007405B2" w:rsidP="005A0009">
            <w:pPr>
              <w:pStyle w:val="Lijstalinea"/>
              <w:numPr>
                <w:ilvl w:val="0"/>
                <w:numId w:val="24"/>
              </w:numPr>
              <w:tabs>
                <w:tab w:val="left" w:leader="dot" w:pos="7907"/>
              </w:tabs>
              <w:ind w:left="2847"/>
              <w:rPr>
                <w:i/>
                <w:sz w:val="17"/>
                <w:szCs w:val="17"/>
              </w:rPr>
            </w:pPr>
            <w:r w:rsidRPr="005A0009">
              <w:rPr>
                <w:i/>
                <w:sz w:val="17"/>
                <w:szCs w:val="17"/>
              </w:rPr>
              <w:t>Samenvatting van de referentie architectuur</w:t>
            </w:r>
            <w:r w:rsidR="005A0009" w:rsidRPr="005A0009">
              <w:rPr>
                <w:i/>
                <w:color w:val="000000"/>
                <w:sz w:val="17"/>
                <w:szCs w:val="17"/>
              </w:rPr>
              <w:tab/>
            </w:r>
            <w:r w:rsidR="005A0009" w:rsidRPr="005A0009">
              <w:rPr>
                <w:i/>
                <w:color w:val="000000"/>
                <w:sz w:val="17"/>
                <w:szCs w:val="17"/>
              </w:rPr>
              <w:t>1</w:t>
            </w:r>
          </w:p>
          <w:p w:rsidR="007405B2" w:rsidRPr="005A0009" w:rsidRDefault="007405B2" w:rsidP="005A0009">
            <w:pPr>
              <w:pStyle w:val="Lijstalinea"/>
              <w:numPr>
                <w:ilvl w:val="1"/>
                <w:numId w:val="24"/>
              </w:numPr>
              <w:tabs>
                <w:tab w:val="left" w:leader="dot" w:pos="7907"/>
              </w:tabs>
              <w:spacing w:after="0"/>
              <w:ind w:left="3567"/>
              <w:rPr>
                <w:i/>
                <w:color w:val="000000"/>
                <w:sz w:val="17"/>
                <w:szCs w:val="17"/>
              </w:rPr>
            </w:pPr>
            <w:r w:rsidRPr="005A0009">
              <w:rPr>
                <w:i/>
                <w:color w:val="000000"/>
                <w:sz w:val="17"/>
                <w:szCs w:val="17"/>
              </w:rPr>
              <w:t>Inleiding</w:t>
            </w:r>
            <w:r w:rsidR="005A0009" w:rsidRPr="005A0009">
              <w:rPr>
                <w:i/>
                <w:color w:val="000000"/>
                <w:sz w:val="17"/>
                <w:szCs w:val="17"/>
              </w:rPr>
              <w:tab/>
            </w:r>
            <w:r w:rsidR="005A0009" w:rsidRPr="005A0009">
              <w:rPr>
                <w:i/>
                <w:color w:val="000000"/>
                <w:sz w:val="17"/>
                <w:szCs w:val="17"/>
              </w:rPr>
              <w:t>1</w:t>
            </w:r>
          </w:p>
          <w:p w:rsidR="007405B2" w:rsidRPr="005A0009" w:rsidRDefault="007405B2" w:rsidP="005A0009">
            <w:pPr>
              <w:pStyle w:val="Lijstalinea"/>
              <w:numPr>
                <w:ilvl w:val="2"/>
                <w:numId w:val="24"/>
              </w:numPr>
              <w:tabs>
                <w:tab w:val="left" w:leader="dot" w:pos="7907"/>
              </w:tabs>
              <w:spacing w:after="0"/>
              <w:ind w:left="4287"/>
              <w:rPr>
                <w:i/>
                <w:color w:val="000000"/>
                <w:sz w:val="17"/>
                <w:szCs w:val="17"/>
              </w:rPr>
            </w:pPr>
            <w:r w:rsidRPr="005A0009">
              <w:rPr>
                <w:i/>
                <w:color w:val="000000"/>
                <w:sz w:val="17"/>
                <w:szCs w:val="17"/>
              </w:rPr>
              <w:t>Aanleiding</w:t>
            </w:r>
            <w:r w:rsidR="005A0009" w:rsidRPr="005A0009">
              <w:rPr>
                <w:i/>
                <w:color w:val="000000"/>
                <w:sz w:val="17"/>
                <w:szCs w:val="17"/>
              </w:rPr>
              <w:tab/>
            </w:r>
            <w:r w:rsidR="005A0009" w:rsidRPr="005A0009">
              <w:rPr>
                <w:i/>
                <w:color w:val="000000"/>
                <w:sz w:val="17"/>
                <w:szCs w:val="17"/>
              </w:rPr>
              <w:t>1</w:t>
            </w:r>
          </w:p>
          <w:p w:rsidR="007405B2" w:rsidRPr="005A0009" w:rsidRDefault="007405B2" w:rsidP="005A0009">
            <w:pPr>
              <w:pStyle w:val="Lijstalinea"/>
              <w:numPr>
                <w:ilvl w:val="2"/>
                <w:numId w:val="24"/>
              </w:numPr>
              <w:tabs>
                <w:tab w:val="left" w:leader="dot" w:pos="7907"/>
              </w:tabs>
              <w:spacing w:after="0"/>
              <w:ind w:left="4287"/>
              <w:rPr>
                <w:i/>
                <w:color w:val="000000"/>
                <w:sz w:val="17"/>
                <w:szCs w:val="17"/>
              </w:rPr>
            </w:pPr>
            <w:r w:rsidRPr="005A0009">
              <w:rPr>
                <w:i/>
                <w:color w:val="000000"/>
                <w:sz w:val="17"/>
                <w:szCs w:val="17"/>
              </w:rPr>
              <w:t>Probleem</w:t>
            </w:r>
            <w:r w:rsidR="005A0009" w:rsidRPr="005A0009">
              <w:rPr>
                <w:i/>
                <w:color w:val="000000"/>
                <w:sz w:val="17"/>
                <w:szCs w:val="17"/>
              </w:rPr>
              <w:tab/>
            </w:r>
            <w:r w:rsidR="005A0009" w:rsidRPr="005A0009">
              <w:rPr>
                <w:i/>
                <w:color w:val="000000"/>
                <w:sz w:val="17"/>
                <w:szCs w:val="17"/>
              </w:rPr>
              <w:t>1</w:t>
            </w:r>
          </w:p>
          <w:p w:rsidR="007405B2" w:rsidRPr="005A0009" w:rsidRDefault="007405B2" w:rsidP="005A0009">
            <w:pPr>
              <w:pStyle w:val="Lijstalinea"/>
              <w:numPr>
                <w:ilvl w:val="2"/>
                <w:numId w:val="24"/>
              </w:numPr>
              <w:tabs>
                <w:tab w:val="left" w:leader="dot" w:pos="7907"/>
              </w:tabs>
              <w:spacing w:after="0"/>
              <w:ind w:left="4287"/>
              <w:rPr>
                <w:i/>
                <w:color w:val="000000"/>
                <w:sz w:val="17"/>
                <w:szCs w:val="17"/>
              </w:rPr>
            </w:pPr>
            <w:r w:rsidRPr="005A0009">
              <w:rPr>
                <w:i/>
                <w:color w:val="000000"/>
                <w:sz w:val="17"/>
                <w:szCs w:val="17"/>
              </w:rPr>
              <w:t>Wat was er al, wat was er nog niet</w:t>
            </w:r>
            <w:r w:rsidR="005A0009" w:rsidRPr="005A0009">
              <w:rPr>
                <w:i/>
                <w:color w:val="000000"/>
                <w:sz w:val="17"/>
                <w:szCs w:val="17"/>
              </w:rPr>
              <w:tab/>
            </w:r>
            <w:r w:rsidR="005A0009" w:rsidRPr="005A0009">
              <w:rPr>
                <w:i/>
                <w:color w:val="000000"/>
                <w:sz w:val="17"/>
                <w:szCs w:val="17"/>
              </w:rPr>
              <w:t>1</w:t>
            </w:r>
          </w:p>
          <w:p w:rsidR="007405B2" w:rsidRPr="005A0009" w:rsidRDefault="007405B2" w:rsidP="005A0009">
            <w:pPr>
              <w:pStyle w:val="Lijstalinea"/>
              <w:numPr>
                <w:ilvl w:val="2"/>
                <w:numId w:val="24"/>
              </w:numPr>
              <w:tabs>
                <w:tab w:val="left" w:leader="dot" w:pos="7907"/>
              </w:tabs>
              <w:spacing w:after="0"/>
              <w:ind w:left="4287"/>
              <w:rPr>
                <w:i/>
                <w:color w:val="000000"/>
                <w:sz w:val="17"/>
                <w:szCs w:val="17"/>
              </w:rPr>
            </w:pPr>
            <w:r w:rsidRPr="005A0009">
              <w:rPr>
                <w:i/>
                <w:color w:val="000000"/>
                <w:sz w:val="17"/>
                <w:szCs w:val="17"/>
              </w:rPr>
              <w:t>Betrokken partijen, totstandkoming</w:t>
            </w:r>
            <w:r w:rsidR="005A0009" w:rsidRPr="005A0009">
              <w:rPr>
                <w:i/>
                <w:color w:val="000000"/>
                <w:sz w:val="17"/>
                <w:szCs w:val="17"/>
              </w:rPr>
              <w:tab/>
            </w:r>
            <w:r w:rsidR="005A0009" w:rsidRPr="005A0009">
              <w:rPr>
                <w:i/>
                <w:color w:val="000000"/>
                <w:sz w:val="17"/>
                <w:szCs w:val="17"/>
              </w:rPr>
              <w:t>2</w:t>
            </w:r>
          </w:p>
          <w:p w:rsidR="007405B2" w:rsidRPr="005A0009" w:rsidRDefault="007405B2" w:rsidP="005A0009">
            <w:pPr>
              <w:pStyle w:val="Lijstalinea"/>
              <w:numPr>
                <w:ilvl w:val="1"/>
                <w:numId w:val="24"/>
              </w:numPr>
              <w:tabs>
                <w:tab w:val="left" w:leader="dot" w:pos="7907"/>
              </w:tabs>
              <w:spacing w:after="0"/>
              <w:ind w:left="3567"/>
              <w:rPr>
                <w:i/>
                <w:color w:val="000000"/>
                <w:sz w:val="17"/>
                <w:szCs w:val="17"/>
              </w:rPr>
            </w:pPr>
            <w:r w:rsidRPr="005A0009">
              <w:rPr>
                <w:i/>
                <w:color w:val="000000"/>
                <w:sz w:val="17"/>
                <w:szCs w:val="17"/>
              </w:rPr>
              <w:t>Scope Referentie Architectuur</w:t>
            </w:r>
            <w:r w:rsidR="005A0009" w:rsidRPr="005A0009">
              <w:rPr>
                <w:i/>
                <w:color w:val="000000"/>
                <w:sz w:val="17"/>
                <w:szCs w:val="17"/>
              </w:rPr>
              <w:tab/>
            </w:r>
            <w:r w:rsidR="005A0009" w:rsidRPr="005A0009">
              <w:rPr>
                <w:i/>
                <w:color w:val="000000"/>
                <w:sz w:val="17"/>
                <w:szCs w:val="17"/>
              </w:rPr>
              <w:t>2</w:t>
            </w:r>
          </w:p>
          <w:p w:rsidR="007405B2" w:rsidRPr="005A0009" w:rsidRDefault="007405B2" w:rsidP="005A0009">
            <w:pPr>
              <w:pStyle w:val="Lijstalinea"/>
              <w:numPr>
                <w:ilvl w:val="2"/>
                <w:numId w:val="24"/>
              </w:numPr>
              <w:tabs>
                <w:tab w:val="left" w:leader="dot" w:pos="7907"/>
              </w:tabs>
              <w:spacing w:after="0"/>
              <w:ind w:left="4287"/>
              <w:rPr>
                <w:i/>
                <w:color w:val="000000"/>
                <w:sz w:val="17"/>
                <w:szCs w:val="17"/>
              </w:rPr>
            </w:pPr>
            <w:r w:rsidRPr="005A0009">
              <w:rPr>
                <w:i/>
                <w:color w:val="000000"/>
                <w:sz w:val="17"/>
                <w:szCs w:val="17"/>
              </w:rPr>
              <w:t>Toepassingsgebied</w:t>
            </w:r>
            <w:r w:rsidR="005A0009" w:rsidRPr="005A0009">
              <w:rPr>
                <w:i/>
                <w:color w:val="000000"/>
                <w:sz w:val="17"/>
                <w:szCs w:val="17"/>
              </w:rPr>
              <w:tab/>
            </w:r>
            <w:r w:rsidR="005A0009" w:rsidRPr="005A0009">
              <w:rPr>
                <w:i/>
                <w:color w:val="000000"/>
                <w:sz w:val="17"/>
                <w:szCs w:val="17"/>
              </w:rPr>
              <w:t>2</w:t>
            </w:r>
          </w:p>
          <w:p w:rsidR="007405B2" w:rsidRPr="005A0009" w:rsidRDefault="007405B2" w:rsidP="005A0009">
            <w:pPr>
              <w:pStyle w:val="Lijstalinea"/>
              <w:numPr>
                <w:ilvl w:val="2"/>
                <w:numId w:val="24"/>
              </w:numPr>
              <w:tabs>
                <w:tab w:val="left" w:leader="dot" w:pos="7907"/>
              </w:tabs>
              <w:spacing w:after="0"/>
              <w:ind w:left="4287"/>
              <w:rPr>
                <w:i/>
                <w:color w:val="000000"/>
                <w:sz w:val="17"/>
                <w:szCs w:val="17"/>
              </w:rPr>
            </w:pPr>
            <w:r w:rsidRPr="005A0009">
              <w:rPr>
                <w:i/>
                <w:color w:val="000000"/>
                <w:sz w:val="17"/>
                <w:szCs w:val="17"/>
              </w:rPr>
              <w:t xml:space="preserve">Werkingsgebied </w:t>
            </w:r>
            <w:r w:rsidR="005A0009" w:rsidRPr="005A0009">
              <w:rPr>
                <w:i/>
                <w:color w:val="000000"/>
                <w:sz w:val="17"/>
                <w:szCs w:val="17"/>
              </w:rPr>
              <w:tab/>
            </w:r>
            <w:r w:rsidR="005A0009" w:rsidRPr="005A0009">
              <w:rPr>
                <w:i/>
                <w:color w:val="000000"/>
                <w:sz w:val="17"/>
                <w:szCs w:val="17"/>
              </w:rPr>
              <w:t>2</w:t>
            </w:r>
          </w:p>
          <w:p w:rsidR="007405B2" w:rsidRPr="005A0009" w:rsidRDefault="007405B2" w:rsidP="005A0009">
            <w:pPr>
              <w:pStyle w:val="Lijstalinea"/>
              <w:numPr>
                <w:ilvl w:val="2"/>
                <w:numId w:val="24"/>
              </w:numPr>
              <w:tabs>
                <w:tab w:val="left" w:leader="dot" w:pos="7907"/>
              </w:tabs>
              <w:spacing w:after="0"/>
              <w:ind w:left="4287"/>
              <w:rPr>
                <w:i/>
                <w:color w:val="000000"/>
                <w:sz w:val="17"/>
                <w:szCs w:val="17"/>
              </w:rPr>
            </w:pPr>
            <w:r w:rsidRPr="005A0009">
              <w:rPr>
                <w:i/>
                <w:color w:val="000000"/>
                <w:sz w:val="17"/>
                <w:szCs w:val="17"/>
              </w:rPr>
              <w:t>Structuur</w:t>
            </w:r>
            <w:r w:rsidR="005A0009" w:rsidRPr="005A0009">
              <w:rPr>
                <w:i/>
                <w:color w:val="000000"/>
                <w:sz w:val="17"/>
                <w:szCs w:val="17"/>
              </w:rPr>
              <w:tab/>
            </w:r>
            <w:r w:rsidR="005A0009" w:rsidRPr="005A0009">
              <w:rPr>
                <w:i/>
                <w:color w:val="000000"/>
                <w:sz w:val="17"/>
                <w:szCs w:val="17"/>
              </w:rPr>
              <w:t>2</w:t>
            </w:r>
          </w:p>
          <w:p w:rsidR="007405B2" w:rsidRPr="005A0009" w:rsidRDefault="007405B2" w:rsidP="005A0009">
            <w:pPr>
              <w:pStyle w:val="Lijstalinea"/>
              <w:numPr>
                <w:ilvl w:val="1"/>
                <w:numId w:val="24"/>
              </w:numPr>
              <w:tabs>
                <w:tab w:val="left" w:leader="dot" w:pos="7907"/>
              </w:tabs>
              <w:spacing w:after="0"/>
              <w:ind w:left="3567"/>
              <w:rPr>
                <w:i/>
                <w:color w:val="000000"/>
                <w:sz w:val="17"/>
                <w:szCs w:val="17"/>
              </w:rPr>
            </w:pPr>
            <w:r w:rsidRPr="005A0009">
              <w:rPr>
                <w:i/>
                <w:color w:val="000000"/>
                <w:sz w:val="17"/>
                <w:szCs w:val="17"/>
              </w:rPr>
              <w:t>Huidige stand van zaken/roadmap</w:t>
            </w:r>
            <w:r w:rsidR="005A0009" w:rsidRPr="005A0009">
              <w:rPr>
                <w:i/>
                <w:color w:val="000000"/>
                <w:sz w:val="17"/>
                <w:szCs w:val="17"/>
              </w:rPr>
              <w:tab/>
            </w:r>
            <w:r w:rsidR="005A0009" w:rsidRPr="005A0009">
              <w:rPr>
                <w:i/>
                <w:color w:val="000000"/>
                <w:sz w:val="17"/>
                <w:szCs w:val="17"/>
              </w:rPr>
              <w:t>3</w:t>
            </w:r>
          </w:p>
          <w:p w:rsidR="007405B2" w:rsidRPr="005A0009" w:rsidRDefault="007405B2" w:rsidP="005A0009">
            <w:pPr>
              <w:pStyle w:val="Lijstalinea"/>
              <w:numPr>
                <w:ilvl w:val="1"/>
                <w:numId w:val="24"/>
              </w:numPr>
              <w:tabs>
                <w:tab w:val="left" w:leader="dot" w:pos="7907"/>
              </w:tabs>
              <w:spacing w:after="0"/>
              <w:ind w:left="3567"/>
              <w:rPr>
                <w:i/>
                <w:color w:val="000000"/>
                <w:sz w:val="17"/>
                <w:szCs w:val="17"/>
              </w:rPr>
            </w:pPr>
            <w:r w:rsidRPr="005A0009">
              <w:rPr>
                <w:i/>
                <w:color w:val="000000"/>
                <w:sz w:val="17"/>
                <w:szCs w:val="17"/>
              </w:rPr>
              <w:t>Proces, governance en beheer</w:t>
            </w:r>
            <w:r w:rsidR="005A0009" w:rsidRPr="005A0009">
              <w:rPr>
                <w:i/>
                <w:color w:val="000000"/>
                <w:sz w:val="17"/>
                <w:szCs w:val="17"/>
              </w:rPr>
              <w:tab/>
            </w:r>
            <w:r w:rsidR="005A0009" w:rsidRPr="005A0009">
              <w:rPr>
                <w:i/>
                <w:color w:val="000000"/>
                <w:sz w:val="17"/>
                <w:szCs w:val="17"/>
              </w:rPr>
              <w:t>3</w:t>
            </w:r>
          </w:p>
          <w:p w:rsidR="007405B2" w:rsidRPr="005A0009" w:rsidRDefault="007405B2" w:rsidP="005A0009">
            <w:pPr>
              <w:pStyle w:val="Lijstalinea"/>
              <w:numPr>
                <w:ilvl w:val="1"/>
                <w:numId w:val="24"/>
              </w:numPr>
              <w:tabs>
                <w:tab w:val="left" w:leader="dot" w:pos="7907"/>
              </w:tabs>
              <w:ind w:left="3567"/>
              <w:rPr>
                <w:i/>
                <w:sz w:val="17"/>
                <w:szCs w:val="17"/>
              </w:rPr>
            </w:pPr>
            <w:r w:rsidRPr="005A0009">
              <w:rPr>
                <w:i/>
                <w:sz w:val="17"/>
                <w:szCs w:val="17"/>
              </w:rPr>
              <w:t>Bijlage bij dit advies</w:t>
            </w:r>
            <w:r w:rsidR="005A0009" w:rsidRPr="005A0009">
              <w:rPr>
                <w:i/>
                <w:color w:val="000000"/>
                <w:sz w:val="17"/>
                <w:szCs w:val="17"/>
              </w:rPr>
              <w:tab/>
            </w:r>
            <w:r w:rsidR="005A0009" w:rsidRPr="005A0009">
              <w:rPr>
                <w:i/>
                <w:color w:val="000000"/>
                <w:sz w:val="17"/>
                <w:szCs w:val="17"/>
              </w:rPr>
              <w:t>3</w:t>
            </w:r>
          </w:p>
          <w:p w:rsidR="007405B2" w:rsidRPr="007405B2" w:rsidRDefault="007405B2" w:rsidP="005A0009">
            <w:pPr>
              <w:pStyle w:val="Lijstalinea"/>
              <w:numPr>
                <w:ilvl w:val="0"/>
                <w:numId w:val="24"/>
              </w:numPr>
              <w:tabs>
                <w:tab w:val="left" w:leader="dot" w:pos="7907"/>
              </w:tabs>
              <w:ind w:left="2847"/>
              <w:rPr>
                <w:sz w:val="17"/>
                <w:szCs w:val="17"/>
              </w:rPr>
            </w:pPr>
            <w:r w:rsidRPr="005A0009">
              <w:rPr>
                <w:i/>
                <w:sz w:val="17"/>
                <w:szCs w:val="17"/>
              </w:rPr>
              <w:t>Beoordeling van de referentiearchitectuur door BES</w:t>
            </w:r>
            <w:r w:rsidR="005A0009" w:rsidRPr="005A0009">
              <w:rPr>
                <w:i/>
                <w:color w:val="000000"/>
                <w:sz w:val="17"/>
                <w:szCs w:val="17"/>
              </w:rPr>
              <w:tab/>
            </w:r>
            <w:r w:rsidR="005A0009" w:rsidRPr="005A0009">
              <w:rPr>
                <w:i/>
                <w:color w:val="000000"/>
                <w:sz w:val="17"/>
                <w:szCs w:val="17"/>
              </w:rPr>
              <w:t>4</w:t>
            </w:r>
          </w:p>
        </w:tc>
      </w:tr>
    </w:tbl>
    <w:p w:rsidR="007405B2" w:rsidRDefault="007405B2" w:rsidP="00A510B4">
      <w:pPr>
        <w:rPr>
          <w:b/>
          <w:sz w:val="17"/>
          <w:szCs w:val="17"/>
        </w:rPr>
      </w:pPr>
    </w:p>
    <w:p w:rsidR="008A4C2A" w:rsidRDefault="008A4C2A" w:rsidP="008A4C2A">
      <w:pPr>
        <w:spacing w:after="0" w:line="260" w:lineRule="atLeast"/>
        <w:rPr>
          <w:b/>
          <w:color w:val="000000"/>
          <w:sz w:val="17"/>
          <w:szCs w:val="17"/>
        </w:rPr>
      </w:pPr>
      <w:r>
        <w:rPr>
          <w:b/>
          <w:color w:val="000000"/>
          <w:sz w:val="17"/>
          <w:szCs w:val="17"/>
        </w:rPr>
        <w:t>Inleiding</w:t>
      </w:r>
    </w:p>
    <w:p w:rsidR="00175DB1" w:rsidRDefault="00175DB1" w:rsidP="00175DB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60" w:lineRule="atLeast"/>
        <w:ind w:left="567"/>
        <w:jc w:val="right"/>
        <w:rPr>
          <w:i/>
          <w:color w:val="000000"/>
          <w:sz w:val="17"/>
          <w:szCs w:val="17"/>
        </w:rPr>
      </w:pPr>
      <w:r>
        <w:rPr>
          <w:i/>
          <w:color w:val="000000"/>
          <w:sz w:val="17"/>
          <w:szCs w:val="17"/>
        </w:rPr>
        <w:t>Het overgrote deel van deze samenvatting is rechtstre</w:t>
      </w:r>
      <w:r w:rsidR="006E0F63">
        <w:rPr>
          <w:i/>
          <w:color w:val="000000"/>
          <w:sz w:val="17"/>
          <w:szCs w:val="17"/>
        </w:rPr>
        <w:t>eks</w:t>
      </w:r>
      <w:r>
        <w:rPr>
          <w:i/>
          <w:color w:val="000000"/>
          <w:sz w:val="17"/>
          <w:szCs w:val="17"/>
        </w:rPr>
        <w:t xml:space="preserve"> </w:t>
      </w:r>
      <w:r w:rsidR="006E0F63">
        <w:rPr>
          <w:i/>
          <w:color w:val="000000"/>
          <w:sz w:val="17"/>
          <w:szCs w:val="17"/>
        </w:rPr>
        <w:t>overgenomen van</w:t>
      </w:r>
      <w:r>
        <w:rPr>
          <w:i/>
          <w:color w:val="000000"/>
          <w:sz w:val="17"/>
          <w:szCs w:val="17"/>
        </w:rPr>
        <w:t xml:space="preserve"> de HORA website.</w:t>
      </w:r>
      <w:r>
        <w:rPr>
          <w:i/>
          <w:color w:val="000000"/>
          <w:sz w:val="17"/>
          <w:szCs w:val="17"/>
        </w:rPr>
        <w:br/>
        <w:t xml:space="preserve">Zie </w:t>
      </w:r>
      <w:hyperlink r:id="rId10" w:history="1">
        <w:r w:rsidRPr="00EC2070">
          <w:rPr>
            <w:rStyle w:val="Hyperlink"/>
            <w:i/>
            <w:sz w:val="17"/>
            <w:szCs w:val="17"/>
          </w:rPr>
          <w:t>http://www.wikixl.nl/wiki/hora/index.php/Over_HORA</w:t>
        </w:r>
      </w:hyperlink>
      <w:r w:rsidR="006E0F63">
        <w:rPr>
          <w:i/>
          <w:color w:val="000000"/>
          <w:sz w:val="17"/>
          <w:szCs w:val="17"/>
        </w:rPr>
        <w:t>.</w:t>
      </w:r>
    </w:p>
    <w:p w:rsidR="006E0F63" w:rsidRPr="00175DB1" w:rsidRDefault="006E0F63" w:rsidP="00175DB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60" w:lineRule="atLeast"/>
        <w:ind w:left="567"/>
        <w:jc w:val="right"/>
        <w:rPr>
          <w:i/>
          <w:color w:val="000000"/>
          <w:sz w:val="17"/>
          <w:szCs w:val="17"/>
        </w:rPr>
      </w:pPr>
      <w:r>
        <w:rPr>
          <w:i/>
          <w:color w:val="000000"/>
          <w:sz w:val="17"/>
          <w:szCs w:val="17"/>
        </w:rPr>
        <w:t>Overige onderdelen zijn afkomstig van het aanmeldformulier.</w:t>
      </w:r>
    </w:p>
    <w:p w:rsidR="00FE1547" w:rsidRPr="00FE1547" w:rsidRDefault="00FE1547" w:rsidP="00FE1547">
      <w:pPr>
        <w:pStyle w:val="Lijstalinea"/>
        <w:numPr>
          <w:ilvl w:val="0"/>
          <w:numId w:val="15"/>
        </w:numPr>
        <w:spacing w:after="0" w:line="260" w:lineRule="atLeast"/>
        <w:rPr>
          <w:b/>
          <w:i/>
          <w:color w:val="000000"/>
          <w:sz w:val="17"/>
          <w:szCs w:val="17"/>
        </w:rPr>
      </w:pPr>
      <w:r w:rsidRPr="00FE1547">
        <w:rPr>
          <w:b/>
          <w:i/>
          <w:color w:val="000000"/>
          <w:sz w:val="17"/>
          <w:szCs w:val="17"/>
        </w:rPr>
        <w:t>Aanleiding</w:t>
      </w:r>
    </w:p>
    <w:p w:rsidR="00FE1547" w:rsidRDefault="00175DB1" w:rsidP="008A4C2A">
      <w:pPr>
        <w:spacing w:after="0" w:line="260" w:lineRule="atLeast"/>
        <w:rPr>
          <w:color w:val="000000"/>
          <w:sz w:val="17"/>
          <w:szCs w:val="17"/>
        </w:rPr>
      </w:pPr>
      <w:r w:rsidRPr="00175DB1">
        <w:rPr>
          <w:color w:val="000000"/>
          <w:sz w:val="17"/>
          <w:szCs w:val="17"/>
        </w:rPr>
        <w:t xml:space="preserve">Deze referentie-architectuur is opgesteld in het kader van het project ‘Regie in de Cloud’. In dit project hebben bestuurders, </w:t>
      </w:r>
      <w:proofErr w:type="spellStart"/>
      <w:r w:rsidRPr="00175DB1">
        <w:rPr>
          <w:color w:val="000000"/>
          <w:sz w:val="17"/>
          <w:szCs w:val="17"/>
        </w:rPr>
        <w:t>CIO’s</w:t>
      </w:r>
      <w:proofErr w:type="spellEnd"/>
      <w:r w:rsidRPr="00175DB1">
        <w:rPr>
          <w:color w:val="000000"/>
          <w:sz w:val="17"/>
          <w:szCs w:val="17"/>
        </w:rPr>
        <w:t xml:space="preserve">, directeuren ICT, onderwijs en onderzoek, informatiemanagers en informatiearchitecten van hogescholen, universiteiten, kennisinstituten en SURF strategische uitdagingen geformuleerd en kansen geïdentificeerd voor het optimaliseren van hun informatievoorziening en het daarbij gemeenschappelijk benutten van de mogelijkheden van de </w:t>
      </w:r>
      <w:proofErr w:type="spellStart"/>
      <w:r w:rsidRPr="00175DB1">
        <w:rPr>
          <w:color w:val="000000"/>
          <w:sz w:val="17"/>
          <w:szCs w:val="17"/>
        </w:rPr>
        <w:t>cloud</w:t>
      </w:r>
      <w:proofErr w:type="spellEnd"/>
      <w:r w:rsidRPr="00175DB1">
        <w:rPr>
          <w:color w:val="000000"/>
          <w:sz w:val="17"/>
          <w:szCs w:val="17"/>
        </w:rPr>
        <w:t>. Dit heeft naast de HORA geresulteerd in een i-Strategie waarin de gezam</w:t>
      </w:r>
      <w:r>
        <w:rPr>
          <w:color w:val="000000"/>
          <w:sz w:val="17"/>
          <w:szCs w:val="17"/>
        </w:rPr>
        <w:t>enlijke ambities zijn verwoord.</w:t>
      </w:r>
    </w:p>
    <w:p w:rsidR="00175DB1" w:rsidRDefault="00175DB1" w:rsidP="008A4C2A">
      <w:pPr>
        <w:spacing w:after="0" w:line="260" w:lineRule="atLeast"/>
        <w:rPr>
          <w:color w:val="000000"/>
          <w:sz w:val="17"/>
          <w:szCs w:val="17"/>
        </w:rPr>
      </w:pPr>
    </w:p>
    <w:p w:rsidR="008A4C2A" w:rsidRPr="00FE1547" w:rsidRDefault="00FE1547" w:rsidP="00FE1547">
      <w:pPr>
        <w:pStyle w:val="Lijstalinea"/>
        <w:numPr>
          <w:ilvl w:val="0"/>
          <w:numId w:val="15"/>
        </w:numPr>
        <w:spacing w:after="0" w:line="260" w:lineRule="atLeast"/>
        <w:rPr>
          <w:b/>
          <w:i/>
          <w:color w:val="000000"/>
          <w:sz w:val="17"/>
          <w:szCs w:val="17"/>
        </w:rPr>
      </w:pPr>
      <w:r w:rsidRPr="00FE1547">
        <w:rPr>
          <w:b/>
          <w:i/>
          <w:color w:val="000000"/>
          <w:sz w:val="17"/>
          <w:szCs w:val="17"/>
        </w:rPr>
        <w:t>Probleem</w:t>
      </w:r>
    </w:p>
    <w:p w:rsidR="008A4C2A" w:rsidRDefault="006A556A" w:rsidP="008A4C2A">
      <w:pPr>
        <w:spacing w:after="0" w:line="260" w:lineRule="atLeast"/>
        <w:rPr>
          <w:color w:val="000000"/>
          <w:sz w:val="17"/>
          <w:szCs w:val="17"/>
        </w:rPr>
      </w:pPr>
      <w:r w:rsidRPr="006A556A">
        <w:rPr>
          <w:color w:val="000000"/>
          <w:sz w:val="17"/>
          <w:szCs w:val="17"/>
        </w:rPr>
        <w:t xml:space="preserve">De complexiteit van de informatievoorziening van instellingen voor hoger onderwijs neemt toe door toenemende </w:t>
      </w:r>
      <w:proofErr w:type="spellStart"/>
      <w:r w:rsidRPr="006A556A">
        <w:rPr>
          <w:color w:val="000000"/>
          <w:sz w:val="17"/>
          <w:szCs w:val="17"/>
        </w:rPr>
        <w:t>instellingsoverstijgende</w:t>
      </w:r>
      <w:proofErr w:type="spellEnd"/>
      <w:r w:rsidRPr="006A556A">
        <w:rPr>
          <w:color w:val="000000"/>
          <w:sz w:val="17"/>
          <w:szCs w:val="17"/>
        </w:rPr>
        <w:t xml:space="preserve"> samenwerking, aandacht voor valorisatie, internationalisering en digitalisering van processen. Daarnaast leiden technologische ontwikkelingen zoals </w:t>
      </w:r>
      <w:proofErr w:type="spellStart"/>
      <w:r w:rsidRPr="006A556A">
        <w:rPr>
          <w:color w:val="000000"/>
          <w:sz w:val="17"/>
          <w:szCs w:val="17"/>
        </w:rPr>
        <w:t>cloud</w:t>
      </w:r>
      <w:proofErr w:type="spellEnd"/>
      <w:r w:rsidRPr="006A556A">
        <w:rPr>
          <w:color w:val="000000"/>
          <w:sz w:val="17"/>
          <w:szCs w:val="17"/>
        </w:rPr>
        <w:t xml:space="preserve"> computing en mobiele apparatuur tot nieuwe risico’s die expliciet moeten worden beheerst. Tegelijkertijd heeft de overheid een toenemende behoefte aan verantwoording door instellingen en stelt ze hogere eisen aan de kwaliteit van informatieverwerking.</w:t>
      </w:r>
    </w:p>
    <w:p w:rsidR="008A4C2A" w:rsidRDefault="008A4C2A" w:rsidP="008A4C2A">
      <w:pPr>
        <w:spacing w:after="0" w:line="260" w:lineRule="atLeast"/>
        <w:rPr>
          <w:color w:val="000000"/>
          <w:sz w:val="17"/>
          <w:szCs w:val="17"/>
        </w:rPr>
      </w:pPr>
    </w:p>
    <w:p w:rsidR="00FE1547" w:rsidRPr="00FE1547" w:rsidRDefault="00FE1547" w:rsidP="00FE1547">
      <w:pPr>
        <w:pStyle w:val="Lijstalinea"/>
        <w:numPr>
          <w:ilvl w:val="0"/>
          <w:numId w:val="15"/>
        </w:numPr>
        <w:spacing w:after="0" w:line="260" w:lineRule="atLeast"/>
        <w:rPr>
          <w:b/>
          <w:i/>
          <w:color w:val="000000"/>
          <w:sz w:val="17"/>
          <w:szCs w:val="17"/>
        </w:rPr>
      </w:pPr>
      <w:r w:rsidRPr="00FE1547">
        <w:rPr>
          <w:b/>
          <w:i/>
          <w:color w:val="000000"/>
          <w:sz w:val="17"/>
          <w:szCs w:val="17"/>
        </w:rPr>
        <w:t>Wat was er al, wat was er nog niet</w:t>
      </w:r>
    </w:p>
    <w:p w:rsidR="00175DB1" w:rsidRDefault="00175DB1" w:rsidP="008A4C2A">
      <w:pPr>
        <w:spacing w:after="0" w:line="260" w:lineRule="atLeast"/>
        <w:rPr>
          <w:color w:val="000000"/>
          <w:sz w:val="17"/>
          <w:szCs w:val="17"/>
        </w:rPr>
      </w:pPr>
      <w:r>
        <w:rPr>
          <w:color w:val="000000"/>
          <w:sz w:val="17"/>
          <w:szCs w:val="17"/>
        </w:rPr>
        <w:t xml:space="preserve">De architectuur geeft </w:t>
      </w:r>
      <w:r w:rsidRPr="00175DB1">
        <w:rPr>
          <w:color w:val="000000"/>
          <w:sz w:val="17"/>
          <w:szCs w:val="17"/>
        </w:rPr>
        <w:t xml:space="preserve">een overzicht van relevante ontwikkelingen in het hoger onderwijs en onderzoek. Daarbij is onderscheid gemaakt tussen algemene ontwikkelingen, onderwijs- en </w:t>
      </w:r>
      <w:proofErr w:type="spellStart"/>
      <w:r w:rsidRPr="00175DB1">
        <w:rPr>
          <w:color w:val="000000"/>
          <w:sz w:val="17"/>
          <w:szCs w:val="17"/>
        </w:rPr>
        <w:t>onderzoeksspecifieke</w:t>
      </w:r>
      <w:proofErr w:type="spellEnd"/>
      <w:r w:rsidRPr="00175DB1">
        <w:rPr>
          <w:color w:val="000000"/>
          <w:sz w:val="17"/>
          <w:szCs w:val="17"/>
        </w:rPr>
        <w:t xml:space="preserve"> ontwikkelingen, IT-ontwikkelingen en technologietrends. Er is een selectie van technologietrends gemaakt die reeds veel invloed hebben gehad of op relatief korte termijn een belangrijke invloed gaan hebben.</w:t>
      </w:r>
    </w:p>
    <w:p w:rsidR="008A4C2A" w:rsidRPr="00175DB1" w:rsidRDefault="00175DB1" w:rsidP="00175DB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60" w:lineRule="atLeast"/>
        <w:ind w:left="567"/>
        <w:jc w:val="right"/>
        <w:rPr>
          <w:i/>
          <w:color w:val="000000"/>
          <w:sz w:val="17"/>
          <w:szCs w:val="17"/>
        </w:rPr>
      </w:pPr>
      <w:r w:rsidRPr="00175DB1">
        <w:rPr>
          <w:i/>
          <w:color w:val="000000"/>
          <w:sz w:val="17"/>
          <w:szCs w:val="17"/>
        </w:rPr>
        <w:lastRenderedPageBreak/>
        <w:t xml:space="preserve">Omdat dit overzicht voor deze samenvatting te uitgebreid is hier een verwijzing naar dat overzicht: </w:t>
      </w:r>
      <w:hyperlink r:id="rId11" w:history="1">
        <w:r w:rsidRPr="00175DB1">
          <w:rPr>
            <w:rStyle w:val="Hyperlink"/>
            <w:i/>
            <w:sz w:val="17"/>
            <w:szCs w:val="17"/>
          </w:rPr>
          <w:t>http://www.wikixl.nl/wiki/hora/index.php/Ontwikkelingen</w:t>
        </w:r>
      </w:hyperlink>
      <w:r w:rsidR="006E0F63">
        <w:rPr>
          <w:i/>
          <w:color w:val="000000"/>
          <w:sz w:val="17"/>
          <w:szCs w:val="17"/>
        </w:rPr>
        <w:t>.</w:t>
      </w:r>
    </w:p>
    <w:p w:rsidR="00175DB1" w:rsidRDefault="00175DB1" w:rsidP="008A4C2A">
      <w:pPr>
        <w:spacing w:after="0" w:line="260" w:lineRule="atLeast"/>
        <w:rPr>
          <w:color w:val="000000"/>
          <w:sz w:val="17"/>
          <w:szCs w:val="17"/>
        </w:rPr>
      </w:pPr>
    </w:p>
    <w:p w:rsidR="00FE1547" w:rsidRPr="00FE1547" w:rsidRDefault="00FE1547" w:rsidP="00FE1547">
      <w:pPr>
        <w:pStyle w:val="Lijstalinea"/>
        <w:numPr>
          <w:ilvl w:val="0"/>
          <w:numId w:val="15"/>
        </w:numPr>
        <w:spacing w:after="0" w:line="260" w:lineRule="atLeast"/>
        <w:rPr>
          <w:b/>
          <w:i/>
          <w:color w:val="000000"/>
          <w:sz w:val="17"/>
          <w:szCs w:val="17"/>
        </w:rPr>
      </w:pPr>
      <w:r w:rsidRPr="00FE1547">
        <w:rPr>
          <w:b/>
          <w:i/>
          <w:color w:val="000000"/>
          <w:sz w:val="17"/>
          <w:szCs w:val="17"/>
        </w:rPr>
        <w:t>Betrokken partijen, totstandkoming</w:t>
      </w:r>
    </w:p>
    <w:p w:rsidR="00D72F6A" w:rsidRDefault="00D72F6A" w:rsidP="008A4C2A">
      <w:pPr>
        <w:spacing w:after="0" w:line="260" w:lineRule="atLeast"/>
        <w:rPr>
          <w:color w:val="000000"/>
          <w:sz w:val="17"/>
          <w:szCs w:val="17"/>
        </w:rPr>
      </w:pPr>
      <w:r w:rsidRPr="005C7807">
        <w:rPr>
          <w:color w:val="000000"/>
          <w:sz w:val="17"/>
          <w:szCs w:val="17"/>
        </w:rPr>
        <w:t>De HORA is tot stand gekomen in de werkgroep architectuur. In de vorm van werksessies zijn discussies gevoerd met informatie-architecten van een twintigtal universiteiten en hogescholen. De resultaten van deze discussies zijn vastgelegd, verrijkt en gevalideerd met een bredere groep. De referentiemodellen zijn gebaseerd op bestaande modellen van instellingen en andere generieke refere</w:t>
      </w:r>
      <w:r>
        <w:rPr>
          <w:color w:val="000000"/>
          <w:sz w:val="17"/>
          <w:szCs w:val="17"/>
        </w:rPr>
        <w:t xml:space="preserve">ntiemodellen zoals </w:t>
      </w:r>
      <w:proofErr w:type="spellStart"/>
      <w:r>
        <w:rPr>
          <w:color w:val="000000"/>
          <w:sz w:val="17"/>
          <w:szCs w:val="17"/>
        </w:rPr>
        <w:t>TripleA</w:t>
      </w:r>
      <w:proofErr w:type="spellEnd"/>
      <w:r w:rsidRPr="005C7807">
        <w:rPr>
          <w:color w:val="000000"/>
          <w:sz w:val="17"/>
          <w:szCs w:val="17"/>
        </w:rPr>
        <w:t>, SURF IABB en de generieke</w:t>
      </w:r>
      <w:r>
        <w:rPr>
          <w:color w:val="000000"/>
          <w:sz w:val="17"/>
          <w:szCs w:val="17"/>
        </w:rPr>
        <w:t xml:space="preserve"> IT-referentie-architectuur</w:t>
      </w:r>
      <w:r w:rsidRPr="005C7807">
        <w:rPr>
          <w:color w:val="000000"/>
          <w:sz w:val="17"/>
          <w:szCs w:val="17"/>
        </w:rPr>
        <w:t>.</w:t>
      </w:r>
    </w:p>
    <w:p w:rsidR="008A4C2A" w:rsidRPr="008A4C2A" w:rsidRDefault="008A4C2A" w:rsidP="00A510B4">
      <w:pPr>
        <w:spacing w:after="0" w:line="260" w:lineRule="atLeast"/>
        <w:rPr>
          <w:color w:val="000000"/>
          <w:sz w:val="17"/>
          <w:szCs w:val="17"/>
        </w:rPr>
      </w:pPr>
    </w:p>
    <w:p w:rsidR="00A510B4" w:rsidRDefault="00A510B4" w:rsidP="00A510B4">
      <w:pPr>
        <w:spacing w:after="0" w:line="260" w:lineRule="atLeast"/>
        <w:rPr>
          <w:b/>
          <w:color w:val="000000"/>
          <w:sz w:val="17"/>
          <w:szCs w:val="17"/>
        </w:rPr>
      </w:pPr>
      <w:r>
        <w:rPr>
          <w:b/>
          <w:color w:val="000000"/>
          <w:sz w:val="17"/>
          <w:szCs w:val="17"/>
        </w:rPr>
        <w:t>Scope Referentie Architectuur</w:t>
      </w:r>
    </w:p>
    <w:p w:rsidR="00A510B4" w:rsidRDefault="00D72F6A" w:rsidP="00A510B4">
      <w:pPr>
        <w:pStyle w:val="Lijstalinea"/>
        <w:numPr>
          <w:ilvl w:val="0"/>
          <w:numId w:val="15"/>
        </w:numPr>
        <w:spacing w:after="0" w:line="260" w:lineRule="atLeast"/>
        <w:rPr>
          <w:b/>
          <w:i/>
          <w:color w:val="000000"/>
          <w:sz w:val="17"/>
          <w:szCs w:val="17"/>
        </w:rPr>
      </w:pPr>
      <w:r>
        <w:rPr>
          <w:b/>
          <w:i/>
          <w:color w:val="000000"/>
          <w:sz w:val="17"/>
          <w:szCs w:val="17"/>
        </w:rPr>
        <w:t>T</w:t>
      </w:r>
      <w:r w:rsidR="00A510B4">
        <w:rPr>
          <w:b/>
          <w:i/>
          <w:color w:val="000000"/>
          <w:sz w:val="17"/>
          <w:szCs w:val="17"/>
        </w:rPr>
        <w:t>oepassingsgebied</w:t>
      </w:r>
    </w:p>
    <w:p w:rsidR="00A510B4" w:rsidRDefault="005C7807" w:rsidP="00A510B4">
      <w:pPr>
        <w:spacing w:after="0" w:line="260" w:lineRule="atLeast"/>
        <w:rPr>
          <w:color w:val="000000"/>
          <w:sz w:val="17"/>
          <w:szCs w:val="17"/>
        </w:rPr>
      </w:pPr>
      <w:r w:rsidRPr="005C7807">
        <w:rPr>
          <w:color w:val="000000"/>
          <w:sz w:val="17"/>
          <w:szCs w:val="17"/>
        </w:rPr>
        <w:t xml:space="preserve">De HORA is specifiek voor de hoger onderwijssector en sluit aan bij de i-Strategie voor hoger onderwijs en onderzoek. Ze beschrijft een HO-instelling op een niveau waarop het onafhankelijk is van </w:t>
      </w:r>
      <w:proofErr w:type="spellStart"/>
      <w:r w:rsidRPr="005C7807">
        <w:rPr>
          <w:color w:val="000000"/>
          <w:sz w:val="17"/>
          <w:szCs w:val="17"/>
        </w:rPr>
        <w:t>instellingsspecifieke</w:t>
      </w:r>
      <w:proofErr w:type="spellEnd"/>
      <w:r w:rsidRPr="005C7807">
        <w:rPr>
          <w:color w:val="000000"/>
          <w:sz w:val="17"/>
          <w:szCs w:val="17"/>
        </w:rPr>
        <w:t xml:space="preserve"> keuzes. Ze kan door HO-instellingen gebruikt worden als spiegel voor de eigen organisatie-inrichting en informatiehuishouding. De focus van de HORA ligt op informatievoorziening; het geheel van mensen, middelen en maatregelen gericht op de informatiebehoefte van die organisatie. De HORA geeft richting maar de instellingen kunnen zelf bepalen hoe ze deze richting vertalen in een eigen inrichting.</w:t>
      </w:r>
    </w:p>
    <w:p w:rsidR="00A510B4" w:rsidRDefault="00A510B4" w:rsidP="00A510B4">
      <w:pPr>
        <w:spacing w:after="0" w:line="260" w:lineRule="atLeast"/>
        <w:rPr>
          <w:color w:val="000000"/>
          <w:sz w:val="17"/>
          <w:szCs w:val="17"/>
        </w:rPr>
      </w:pPr>
    </w:p>
    <w:p w:rsidR="00A510B4" w:rsidRDefault="00D72F6A" w:rsidP="00A510B4">
      <w:pPr>
        <w:pStyle w:val="Lijstalinea"/>
        <w:numPr>
          <w:ilvl w:val="0"/>
          <w:numId w:val="15"/>
        </w:numPr>
        <w:spacing w:after="0" w:line="260" w:lineRule="atLeast"/>
        <w:rPr>
          <w:b/>
          <w:i/>
          <w:color w:val="000000"/>
          <w:sz w:val="17"/>
          <w:szCs w:val="17"/>
        </w:rPr>
      </w:pPr>
      <w:r>
        <w:rPr>
          <w:b/>
          <w:i/>
          <w:color w:val="000000"/>
          <w:sz w:val="17"/>
          <w:szCs w:val="17"/>
        </w:rPr>
        <w:t>W</w:t>
      </w:r>
      <w:r w:rsidR="00A510B4">
        <w:rPr>
          <w:b/>
          <w:i/>
          <w:color w:val="000000"/>
          <w:sz w:val="17"/>
          <w:szCs w:val="17"/>
        </w:rPr>
        <w:t xml:space="preserve">erkingsgebied </w:t>
      </w:r>
    </w:p>
    <w:p w:rsidR="00A510B4" w:rsidRDefault="005C7807" w:rsidP="00A510B4">
      <w:pPr>
        <w:spacing w:after="0" w:line="260" w:lineRule="atLeast"/>
        <w:rPr>
          <w:color w:val="000000"/>
          <w:sz w:val="17"/>
          <w:szCs w:val="17"/>
        </w:rPr>
      </w:pPr>
      <w:r w:rsidRPr="005C7807">
        <w:rPr>
          <w:color w:val="000000"/>
          <w:sz w:val="17"/>
          <w:szCs w:val="17"/>
        </w:rPr>
        <w:t xml:space="preserve">De HORA is primair ontwikkeld voor </w:t>
      </w:r>
      <w:proofErr w:type="spellStart"/>
      <w:r w:rsidRPr="005C7807">
        <w:rPr>
          <w:color w:val="000000"/>
          <w:sz w:val="17"/>
          <w:szCs w:val="17"/>
        </w:rPr>
        <w:t>enterprise</w:t>
      </w:r>
      <w:proofErr w:type="spellEnd"/>
      <w:r w:rsidRPr="005C7807">
        <w:rPr>
          <w:color w:val="000000"/>
          <w:sz w:val="17"/>
          <w:szCs w:val="17"/>
        </w:rPr>
        <w:t>- en informatie-architecten en andere mensen die zich richten op de inrichting van de informatievoorziening zoals informatiemanagers, solution-architecten, functioneel en technisch ontwerpers en functioneel beheerders. De toepassing is echter ook breder; het kan ook ondersteuning bieden bij organisatievraagstukken, los van informatievoorziening. Dat betekent dat de HORA (voor een deel) ook bedoeld is voor beleidsmedewerkers, adviseurs en anderen die zich bezig houden met organisatie- en procesveranderingen.</w:t>
      </w:r>
    </w:p>
    <w:p w:rsidR="00A510B4" w:rsidRDefault="00A510B4" w:rsidP="00A510B4">
      <w:pPr>
        <w:rPr>
          <w:b/>
          <w:sz w:val="17"/>
          <w:szCs w:val="17"/>
        </w:rPr>
      </w:pPr>
    </w:p>
    <w:p w:rsidR="00A510B4" w:rsidRDefault="00D72F6A" w:rsidP="00A510B4">
      <w:pPr>
        <w:pStyle w:val="Lijstalinea"/>
        <w:numPr>
          <w:ilvl w:val="0"/>
          <w:numId w:val="15"/>
        </w:numPr>
        <w:spacing w:after="0" w:line="260" w:lineRule="atLeast"/>
        <w:rPr>
          <w:b/>
          <w:i/>
          <w:color w:val="000000"/>
          <w:sz w:val="17"/>
          <w:szCs w:val="17"/>
        </w:rPr>
      </w:pPr>
      <w:r>
        <w:rPr>
          <w:b/>
          <w:i/>
          <w:color w:val="000000"/>
          <w:sz w:val="17"/>
          <w:szCs w:val="17"/>
        </w:rPr>
        <w:t>S</w:t>
      </w:r>
      <w:r w:rsidR="00A510B4">
        <w:rPr>
          <w:b/>
          <w:i/>
          <w:color w:val="000000"/>
          <w:sz w:val="17"/>
          <w:szCs w:val="17"/>
        </w:rPr>
        <w:t>tructuur</w:t>
      </w:r>
    </w:p>
    <w:p w:rsidR="00B10C9E" w:rsidRPr="00B10C9E" w:rsidRDefault="00B10C9E" w:rsidP="00D72F6A">
      <w:pPr>
        <w:spacing w:after="120" w:line="260" w:lineRule="atLeast"/>
        <w:rPr>
          <w:color w:val="000000"/>
          <w:sz w:val="17"/>
          <w:szCs w:val="17"/>
        </w:rPr>
      </w:pPr>
      <w:r>
        <w:rPr>
          <w:color w:val="000000"/>
          <w:sz w:val="17"/>
          <w:szCs w:val="17"/>
        </w:rPr>
        <w:t>D</w:t>
      </w:r>
      <w:r w:rsidR="00A510B4">
        <w:rPr>
          <w:color w:val="000000"/>
          <w:sz w:val="17"/>
          <w:szCs w:val="17"/>
        </w:rPr>
        <w:t xml:space="preserve">e referentiearchitectuur </w:t>
      </w:r>
      <w:r>
        <w:rPr>
          <w:color w:val="000000"/>
          <w:sz w:val="17"/>
          <w:szCs w:val="17"/>
        </w:rPr>
        <w:t xml:space="preserve">HORA </w:t>
      </w:r>
      <w:r w:rsidRPr="00B10C9E">
        <w:rPr>
          <w:color w:val="000000"/>
          <w:sz w:val="17"/>
          <w:szCs w:val="17"/>
        </w:rPr>
        <w:t>De HORA bestaat uit drie delen:</w:t>
      </w:r>
    </w:p>
    <w:p w:rsidR="00B10C9E" w:rsidRPr="00B10C9E" w:rsidRDefault="00315E7F" w:rsidP="00B10C9E">
      <w:pPr>
        <w:pStyle w:val="Lijstalinea"/>
        <w:numPr>
          <w:ilvl w:val="0"/>
          <w:numId w:val="17"/>
        </w:numPr>
        <w:spacing w:after="0" w:line="260" w:lineRule="atLeast"/>
        <w:rPr>
          <w:color w:val="000000"/>
          <w:sz w:val="17"/>
          <w:szCs w:val="17"/>
        </w:rPr>
      </w:pPr>
      <w:r>
        <w:rPr>
          <w:noProof/>
          <w:lang w:eastAsia="nl-NL"/>
        </w:rPr>
        <w:drawing>
          <wp:anchor distT="0" distB="0" distL="114300" distR="114300" simplePos="0" relativeHeight="251660288" behindDoc="0" locked="0" layoutInCell="1" allowOverlap="1" wp14:anchorId="18836DF6" wp14:editId="051E4845">
            <wp:simplePos x="0" y="0"/>
            <wp:positionH relativeFrom="column">
              <wp:posOffset>2309495</wp:posOffset>
            </wp:positionH>
            <wp:positionV relativeFrom="paragraph">
              <wp:posOffset>487045</wp:posOffset>
            </wp:positionV>
            <wp:extent cx="3446780" cy="2249805"/>
            <wp:effectExtent l="0" t="0" r="1270" b="0"/>
            <wp:wrapSquare wrapText="bothSides"/>
            <wp:docPr id="8" name="Afbeelding 8"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e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6780" cy="224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C9E" w:rsidRPr="00B10C9E">
        <w:rPr>
          <w:b/>
          <w:color w:val="000000"/>
          <w:sz w:val="17"/>
          <w:szCs w:val="17"/>
        </w:rPr>
        <w:t>Deel 1 – Architectuurvisie</w:t>
      </w:r>
      <w:r w:rsidR="00B10C9E" w:rsidRPr="00B10C9E">
        <w:rPr>
          <w:color w:val="000000"/>
          <w:sz w:val="17"/>
          <w:szCs w:val="17"/>
        </w:rPr>
        <w:t xml:space="preserve"> geeft een perspectief op de toekomst door een vertaling te maken van relevante ontwikkelingen en ambities die zijn beschreven in de i-Strategie. Het maakt concreter wat de impact hiervan is op de inrichting van de informatievoorziening van instellingen en gebruikt daarbij (onderdelen van) de referentiemodellen. Het beschrijft een aantal leidende principes en besteedt aandacht aan een aantal specifieke veranderthema’s.</w:t>
      </w:r>
    </w:p>
    <w:p w:rsidR="00B10C9E" w:rsidRPr="00B10C9E" w:rsidRDefault="00B10C9E" w:rsidP="00B10C9E">
      <w:pPr>
        <w:pStyle w:val="Lijstalinea"/>
        <w:numPr>
          <w:ilvl w:val="0"/>
          <w:numId w:val="17"/>
        </w:numPr>
        <w:spacing w:after="0" w:line="260" w:lineRule="atLeast"/>
        <w:rPr>
          <w:color w:val="000000"/>
          <w:sz w:val="17"/>
          <w:szCs w:val="17"/>
        </w:rPr>
      </w:pPr>
      <w:r w:rsidRPr="00B10C9E">
        <w:rPr>
          <w:b/>
          <w:color w:val="000000"/>
          <w:sz w:val="17"/>
          <w:szCs w:val="17"/>
        </w:rPr>
        <w:t>Deel 2 – Referentiemodellen</w:t>
      </w:r>
      <w:r w:rsidRPr="00B10C9E">
        <w:rPr>
          <w:color w:val="000000"/>
          <w:sz w:val="17"/>
          <w:szCs w:val="17"/>
        </w:rPr>
        <w:t xml:space="preserve"> biedt een verzameling generieke en relatief stabiele modellen die vooral vanuit business- en informatieperspectief beschrijven wat een hoger onderwijsinstelling doet en heeft. Het creëert een gemeenschappelijke taal die de communicatie kan verbeteren, zowel binnen de sector als binnen een instelling. De toepassingsmogelijkheden zijn heel breed.</w:t>
      </w:r>
    </w:p>
    <w:p w:rsidR="00B10C9E" w:rsidRPr="00B10C9E" w:rsidRDefault="00B10C9E" w:rsidP="00B10C9E">
      <w:pPr>
        <w:pStyle w:val="Lijstalinea"/>
        <w:numPr>
          <w:ilvl w:val="0"/>
          <w:numId w:val="17"/>
        </w:numPr>
        <w:spacing w:after="0" w:line="260" w:lineRule="atLeast"/>
        <w:rPr>
          <w:color w:val="000000"/>
          <w:sz w:val="17"/>
          <w:szCs w:val="17"/>
        </w:rPr>
      </w:pPr>
      <w:r w:rsidRPr="00B10C9E">
        <w:rPr>
          <w:b/>
          <w:color w:val="000000"/>
          <w:sz w:val="17"/>
          <w:szCs w:val="17"/>
        </w:rPr>
        <w:t>Deel 3 – Implementatiehulpmiddelen</w:t>
      </w:r>
      <w:r w:rsidRPr="00B10C9E">
        <w:rPr>
          <w:color w:val="000000"/>
          <w:sz w:val="17"/>
          <w:szCs w:val="17"/>
        </w:rPr>
        <w:t xml:space="preserve"> biedt ondersteuning bij de implementatie van de referentie-architectuur. Het beschrijft onder</w:t>
      </w:r>
      <w:r w:rsidR="005C7807">
        <w:rPr>
          <w:color w:val="000000"/>
          <w:sz w:val="17"/>
          <w:szCs w:val="17"/>
        </w:rPr>
        <w:t xml:space="preserve"> </w:t>
      </w:r>
      <w:r w:rsidRPr="00B10C9E">
        <w:rPr>
          <w:color w:val="000000"/>
          <w:sz w:val="17"/>
          <w:szCs w:val="17"/>
        </w:rPr>
        <w:t xml:space="preserve">meer hoe de architectuurfunctie kan worden </w:t>
      </w:r>
      <w:r w:rsidRPr="00B10C9E">
        <w:rPr>
          <w:color w:val="000000"/>
          <w:sz w:val="17"/>
          <w:szCs w:val="17"/>
        </w:rPr>
        <w:lastRenderedPageBreak/>
        <w:t xml:space="preserve">ingericht en hoe de modellen in de HORA kunnen worden gebruikt voor gegevensbeheer en applicatie-integratie. </w:t>
      </w:r>
    </w:p>
    <w:p w:rsidR="00A510B4" w:rsidRDefault="00B10C9E" w:rsidP="00D72F6A">
      <w:pPr>
        <w:spacing w:before="120" w:after="0" w:line="260" w:lineRule="atLeast"/>
        <w:rPr>
          <w:color w:val="000000"/>
          <w:sz w:val="17"/>
          <w:szCs w:val="17"/>
        </w:rPr>
      </w:pPr>
      <w:r w:rsidRPr="00B10C9E">
        <w:rPr>
          <w:color w:val="000000"/>
          <w:sz w:val="17"/>
          <w:szCs w:val="17"/>
        </w:rPr>
        <w:t xml:space="preserve">Deze drie documenten en de daarbij behorende modellen zijn opgenomen in deze </w:t>
      </w:r>
      <w:proofErr w:type="spellStart"/>
      <w:r w:rsidRPr="00B10C9E">
        <w:rPr>
          <w:color w:val="000000"/>
          <w:sz w:val="17"/>
          <w:szCs w:val="17"/>
        </w:rPr>
        <w:t>wiki</w:t>
      </w:r>
      <w:proofErr w:type="spellEnd"/>
      <w:r w:rsidRPr="00B10C9E">
        <w:rPr>
          <w:color w:val="000000"/>
          <w:sz w:val="17"/>
          <w:szCs w:val="17"/>
        </w:rPr>
        <w:t xml:space="preserve"> waarin ook meer gedetailleerde informatie te vinden is. Het beschrijft met name de referentiemodellen en daarbij behorende modelelementen in meer detail. Doordat het een semantische </w:t>
      </w:r>
      <w:proofErr w:type="spellStart"/>
      <w:r w:rsidRPr="00B10C9E">
        <w:rPr>
          <w:color w:val="000000"/>
          <w:sz w:val="17"/>
          <w:szCs w:val="17"/>
        </w:rPr>
        <w:t>wiki</w:t>
      </w:r>
      <w:proofErr w:type="spellEnd"/>
      <w:r w:rsidRPr="00B10C9E">
        <w:rPr>
          <w:color w:val="000000"/>
          <w:sz w:val="17"/>
          <w:szCs w:val="17"/>
        </w:rPr>
        <w:t xml:space="preserve"> is wordt de samenhang van elementen getoond, waardoor duidelijk is hoe bedrijfsfuncties, bedrijfsprocessen, bedrijfsobjecten en applicaties aan elkaar gerelateerd zijn.</w:t>
      </w:r>
    </w:p>
    <w:p w:rsidR="008A4C2A" w:rsidRDefault="008A4C2A" w:rsidP="008A4C2A">
      <w:pPr>
        <w:spacing w:after="0" w:line="260" w:lineRule="atLeast"/>
        <w:rPr>
          <w:color w:val="000000"/>
          <w:sz w:val="17"/>
          <w:szCs w:val="17"/>
        </w:rPr>
      </w:pPr>
    </w:p>
    <w:p w:rsidR="00A510B4" w:rsidRPr="006E0F63" w:rsidRDefault="008A4C2A" w:rsidP="006E0F6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60" w:lineRule="atLeast"/>
        <w:ind w:left="567"/>
        <w:rPr>
          <w:i/>
          <w:color w:val="000000"/>
          <w:sz w:val="17"/>
          <w:szCs w:val="17"/>
        </w:rPr>
      </w:pPr>
      <w:r w:rsidRPr="006E0F63">
        <w:rPr>
          <w:i/>
          <w:color w:val="000000"/>
          <w:sz w:val="17"/>
          <w:szCs w:val="17"/>
        </w:rPr>
        <w:t xml:space="preserve">Het Aanmeldformulier voor registratie van </w:t>
      </w:r>
      <w:r w:rsidR="00B863BF" w:rsidRPr="006E0F63">
        <w:rPr>
          <w:i/>
          <w:sz w:val="17"/>
          <w:szCs w:val="17"/>
        </w:rPr>
        <w:t>HORA v1.0</w:t>
      </w:r>
      <w:r w:rsidR="00B863BF" w:rsidRPr="006E0F63">
        <w:rPr>
          <w:i/>
          <w:color w:val="000000"/>
          <w:sz w:val="17"/>
          <w:szCs w:val="17"/>
        </w:rPr>
        <w:t xml:space="preserve"> </w:t>
      </w:r>
      <w:r w:rsidRPr="006E0F63">
        <w:rPr>
          <w:i/>
          <w:color w:val="000000"/>
          <w:sz w:val="17"/>
          <w:szCs w:val="17"/>
        </w:rPr>
        <w:t>(zie bijlage) bevat een vast overzicht van vragen en antwoorden en kan ter aanvulling worden gebruikt om te bepalen uit welke onderdelen de referentiearchitectuur bestaat en waarvoor de referentiearchitectuur is bedoeld.</w:t>
      </w:r>
    </w:p>
    <w:p w:rsidR="008A4C2A" w:rsidRDefault="008A4C2A" w:rsidP="008A4C2A">
      <w:pPr>
        <w:spacing w:after="0" w:line="260" w:lineRule="atLeast"/>
        <w:rPr>
          <w:color w:val="000000"/>
          <w:sz w:val="17"/>
          <w:szCs w:val="17"/>
        </w:rPr>
      </w:pPr>
    </w:p>
    <w:p w:rsidR="008A4C2A" w:rsidRDefault="008A4C2A" w:rsidP="008A4C2A">
      <w:pPr>
        <w:spacing w:after="0" w:line="260" w:lineRule="atLeast"/>
        <w:rPr>
          <w:b/>
          <w:color w:val="000000"/>
          <w:sz w:val="17"/>
          <w:szCs w:val="17"/>
        </w:rPr>
      </w:pPr>
      <w:r>
        <w:rPr>
          <w:b/>
          <w:color w:val="000000"/>
          <w:sz w:val="17"/>
          <w:szCs w:val="17"/>
        </w:rPr>
        <w:t>Huidige stand van zaken/roadmap</w:t>
      </w:r>
    </w:p>
    <w:p w:rsidR="006E0F63" w:rsidRPr="006E0F63" w:rsidRDefault="006E0F63" w:rsidP="006E0F63">
      <w:pPr>
        <w:spacing w:after="0" w:line="260" w:lineRule="atLeast"/>
        <w:rPr>
          <w:color w:val="000000"/>
          <w:sz w:val="17"/>
          <w:szCs w:val="17"/>
        </w:rPr>
      </w:pPr>
      <w:r w:rsidRPr="006E0F63">
        <w:rPr>
          <w:color w:val="000000"/>
          <w:sz w:val="17"/>
          <w:szCs w:val="17"/>
        </w:rPr>
        <w:t>Er is (nog) geen roadmap. Doorontwikkeling gaat plaatsvinden op basis van:</w:t>
      </w:r>
    </w:p>
    <w:p w:rsidR="006E0F63" w:rsidRPr="006E0F63" w:rsidRDefault="006E0F63" w:rsidP="006E0F63">
      <w:pPr>
        <w:pStyle w:val="Lijstalinea"/>
        <w:numPr>
          <w:ilvl w:val="0"/>
          <w:numId w:val="21"/>
        </w:numPr>
        <w:spacing w:after="0" w:line="260" w:lineRule="atLeast"/>
        <w:ind w:left="709" w:hanging="425"/>
        <w:rPr>
          <w:color w:val="000000"/>
          <w:sz w:val="17"/>
          <w:szCs w:val="17"/>
        </w:rPr>
      </w:pPr>
      <w:r w:rsidRPr="006E0F63">
        <w:rPr>
          <w:color w:val="000000"/>
          <w:sz w:val="17"/>
          <w:szCs w:val="17"/>
        </w:rPr>
        <w:t>Specifieke vraagstukken, zoals Digitale Leeromgeving (het onderdeel Architectuurvisie). Het CIO-beraad kan als opdrachtgever thema’s aandragen die uitgewerkt dienen te worden. Daarnaast kan het architectuurberaad ook zelfstandig thema’s uitwerken, mits deze in lijn zijn met de I-strategie. De focus ligt in ieder geval op het primaire proces.</w:t>
      </w:r>
    </w:p>
    <w:p w:rsidR="006E0F63" w:rsidRPr="006E0F63" w:rsidRDefault="006E0F63" w:rsidP="006E0F63">
      <w:pPr>
        <w:pStyle w:val="Lijstalinea"/>
        <w:numPr>
          <w:ilvl w:val="0"/>
          <w:numId w:val="21"/>
        </w:numPr>
        <w:spacing w:after="0" w:line="260" w:lineRule="atLeast"/>
        <w:ind w:left="709" w:hanging="425"/>
        <w:rPr>
          <w:color w:val="000000"/>
          <w:sz w:val="17"/>
          <w:szCs w:val="17"/>
        </w:rPr>
      </w:pPr>
      <w:r w:rsidRPr="006E0F63">
        <w:rPr>
          <w:color w:val="000000"/>
          <w:sz w:val="17"/>
          <w:szCs w:val="17"/>
        </w:rPr>
        <w:t>Correctief onderhoud.</w:t>
      </w:r>
    </w:p>
    <w:p w:rsidR="008A4C2A" w:rsidRPr="006E0F63" w:rsidRDefault="006E0F63" w:rsidP="006E0F63">
      <w:pPr>
        <w:pStyle w:val="Lijstalinea"/>
        <w:numPr>
          <w:ilvl w:val="0"/>
          <w:numId w:val="21"/>
        </w:numPr>
        <w:spacing w:after="0" w:line="260" w:lineRule="atLeast"/>
        <w:ind w:left="709" w:hanging="425"/>
        <w:rPr>
          <w:color w:val="000000"/>
          <w:sz w:val="17"/>
          <w:szCs w:val="17"/>
        </w:rPr>
      </w:pPr>
      <w:r w:rsidRPr="006E0F63">
        <w:rPr>
          <w:color w:val="000000"/>
          <w:sz w:val="17"/>
          <w:szCs w:val="17"/>
        </w:rPr>
        <w:t xml:space="preserve">Aanpassingen/uitbreidingen.  </w:t>
      </w:r>
    </w:p>
    <w:p w:rsidR="008A4C2A" w:rsidRDefault="008A4C2A" w:rsidP="008A4C2A">
      <w:pPr>
        <w:spacing w:after="0" w:line="260" w:lineRule="atLeast"/>
        <w:rPr>
          <w:color w:val="000000"/>
          <w:sz w:val="17"/>
          <w:szCs w:val="17"/>
        </w:rPr>
      </w:pPr>
    </w:p>
    <w:p w:rsidR="008A4C2A" w:rsidRDefault="008A4C2A" w:rsidP="008A4C2A">
      <w:pPr>
        <w:spacing w:after="0" w:line="260" w:lineRule="atLeast"/>
        <w:rPr>
          <w:b/>
          <w:color w:val="000000"/>
          <w:sz w:val="17"/>
          <w:szCs w:val="17"/>
        </w:rPr>
      </w:pPr>
      <w:r>
        <w:rPr>
          <w:b/>
          <w:color w:val="000000"/>
          <w:sz w:val="17"/>
          <w:szCs w:val="17"/>
        </w:rPr>
        <w:t>Proces</w:t>
      </w:r>
      <w:r w:rsidR="00D72F6A">
        <w:rPr>
          <w:b/>
          <w:color w:val="000000"/>
          <w:sz w:val="17"/>
          <w:szCs w:val="17"/>
        </w:rPr>
        <w:t>, governance en beheer</w:t>
      </w:r>
    </w:p>
    <w:p w:rsidR="00D72F6A" w:rsidRPr="00D72F6A" w:rsidRDefault="00D72F6A" w:rsidP="00D72F6A">
      <w:pPr>
        <w:spacing w:after="0" w:line="260" w:lineRule="atLeast"/>
        <w:rPr>
          <w:color w:val="000000"/>
          <w:sz w:val="17"/>
          <w:szCs w:val="17"/>
        </w:rPr>
      </w:pPr>
      <w:r w:rsidRPr="00D72F6A">
        <w:rPr>
          <w:color w:val="000000"/>
          <w:sz w:val="17"/>
          <w:szCs w:val="17"/>
        </w:rPr>
        <w:t>Het beheer van HORA is belegd bij een architectenberaad HO. Naast het beheer van de HORA houdt dit architectenberaad zich onder</w:t>
      </w:r>
      <w:r>
        <w:rPr>
          <w:color w:val="000000"/>
          <w:sz w:val="17"/>
          <w:szCs w:val="17"/>
        </w:rPr>
        <w:t xml:space="preserve"> </w:t>
      </w:r>
      <w:r w:rsidRPr="00D72F6A">
        <w:rPr>
          <w:color w:val="000000"/>
          <w:sz w:val="17"/>
          <w:szCs w:val="17"/>
        </w:rPr>
        <w:t>meer bezig met kennisuitwisseling, het ondersteunen van instellingen bij het werken onder architectuur en het implementeren van de HORA, het integreren van andere gerelateerde kennisbronnen aan de HORA en het gevraagd en ongevraagd adviseren van het CIO-beraad.</w:t>
      </w:r>
    </w:p>
    <w:p w:rsidR="008A4C2A" w:rsidRDefault="00D72F6A" w:rsidP="00D72F6A">
      <w:pPr>
        <w:spacing w:after="0" w:line="260" w:lineRule="atLeast"/>
        <w:rPr>
          <w:color w:val="000000"/>
          <w:sz w:val="17"/>
          <w:szCs w:val="17"/>
        </w:rPr>
      </w:pPr>
      <w:r w:rsidRPr="00D72F6A">
        <w:rPr>
          <w:color w:val="000000"/>
          <w:sz w:val="17"/>
          <w:szCs w:val="17"/>
        </w:rPr>
        <w:t>Binnen het architectenberaad is de werkgroep HORA beheer actief met het onderhouden van de HORA.</w:t>
      </w:r>
    </w:p>
    <w:p w:rsidR="006E0F63" w:rsidRDefault="006E0F63" w:rsidP="006E0F63">
      <w:pPr>
        <w:spacing w:after="0" w:line="260" w:lineRule="atLeast"/>
        <w:rPr>
          <w:color w:val="000000"/>
          <w:sz w:val="17"/>
          <w:szCs w:val="17"/>
          <w:u w:val="single"/>
        </w:rPr>
      </w:pPr>
    </w:p>
    <w:p w:rsidR="006E0F63" w:rsidRPr="006E0F63" w:rsidRDefault="006E0F63" w:rsidP="006E0F63">
      <w:pPr>
        <w:spacing w:after="0" w:line="260" w:lineRule="atLeast"/>
        <w:rPr>
          <w:color w:val="000000"/>
          <w:sz w:val="17"/>
          <w:szCs w:val="17"/>
          <w:u w:val="single"/>
        </w:rPr>
      </w:pPr>
      <w:r w:rsidRPr="006E0F63">
        <w:rPr>
          <w:color w:val="000000"/>
          <w:sz w:val="17"/>
          <w:szCs w:val="17"/>
          <w:u w:val="single"/>
        </w:rPr>
        <w:t xml:space="preserve">Proces voor wijzigingen: </w:t>
      </w:r>
    </w:p>
    <w:p w:rsidR="006E0F63" w:rsidRPr="006E0F63" w:rsidRDefault="006E0F63" w:rsidP="006E0F63">
      <w:pPr>
        <w:pStyle w:val="Lijstalinea"/>
        <w:numPr>
          <w:ilvl w:val="0"/>
          <w:numId w:val="22"/>
        </w:numPr>
        <w:spacing w:after="0" w:line="260" w:lineRule="atLeast"/>
        <w:ind w:left="709" w:hanging="425"/>
        <w:rPr>
          <w:color w:val="000000"/>
          <w:sz w:val="17"/>
          <w:szCs w:val="17"/>
        </w:rPr>
      </w:pPr>
      <w:r w:rsidRPr="006E0F63">
        <w:rPr>
          <w:color w:val="000000"/>
          <w:sz w:val="17"/>
          <w:szCs w:val="17"/>
        </w:rPr>
        <w:t>Verzoek indienen</w:t>
      </w:r>
    </w:p>
    <w:p w:rsidR="006E0F63" w:rsidRPr="006E0F63" w:rsidRDefault="006E0F63" w:rsidP="006E0F63">
      <w:pPr>
        <w:pStyle w:val="Lijstalinea"/>
        <w:numPr>
          <w:ilvl w:val="0"/>
          <w:numId w:val="22"/>
        </w:numPr>
        <w:spacing w:after="0" w:line="260" w:lineRule="atLeast"/>
        <w:ind w:left="709" w:hanging="425"/>
        <w:rPr>
          <w:color w:val="000000"/>
          <w:sz w:val="17"/>
          <w:szCs w:val="17"/>
        </w:rPr>
      </w:pPr>
      <w:r w:rsidRPr="006E0F63">
        <w:rPr>
          <w:color w:val="000000"/>
          <w:sz w:val="17"/>
          <w:szCs w:val="17"/>
        </w:rPr>
        <w:t>Analyse door HORA beheergroep</w:t>
      </w:r>
    </w:p>
    <w:p w:rsidR="006E0F63" w:rsidRPr="006E0F63" w:rsidRDefault="006E0F63" w:rsidP="006E0F63">
      <w:pPr>
        <w:pStyle w:val="Lijstalinea"/>
        <w:numPr>
          <w:ilvl w:val="0"/>
          <w:numId w:val="22"/>
        </w:numPr>
        <w:spacing w:after="0" w:line="260" w:lineRule="atLeast"/>
        <w:ind w:left="709" w:hanging="425"/>
        <w:rPr>
          <w:color w:val="000000"/>
          <w:sz w:val="17"/>
          <w:szCs w:val="17"/>
        </w:rPr>
      </w:pPr>
      <w:r w:rsidRPr="006E0F63">
        <w:rPr>
          <w:color w:val="000000"/>
          <w:sz w:val="17"/>
          <w:szCs w:val="17"/>
        </w:rPr>
        <w:t>Beslissing door Architectenberaad</w:t>
      </w:r>
    </w:p>
    <w:p w:rsidR="006E0F63" w:rsidRPr="006E0F63" w:rsidRDefault="006E0F63" w:rsidP="006E0F63">
      <w:pPr>
        <w:pStyle w:val="Lijstalinea"/>
        <w:numPr>
          <w:ilvl w:val="0"/>
          <w:numId w:val="22"/>
        </w:numPr>
        <w:spacing w:after="0" w:line="260" w:lineRule="atLeast"/>
        <w:ind w:left="709" w:hanging="425"/>
        <w:rPr>
          <w:color w:val="000000"/>
          <w:sz w:val="17"/>
          <w:szCs w:val="17"/>
        </w:rPr>
      </w:pPr>
      <w:r w:rsidRPr="006E0F63">
        <w:rPr>
          <w:color w:val="000000"/>
          <w:sz w:val="17"/>
          <w:szCs w:val="17"/>
        </w:rPr>
        <w:t>Uitvoering door HORA beheergroep</w:t>
      </w:r>
    </w:p>
    <w:p w:rsidR="006E0F63" w:rsidRPr="006E0F63" w:rsidRDefault="006E0F63" w:rsidP="006E0F63">
      <w:pPr>
        <w:pStyle w:val="Lijstalinea"/>
        <w:numPr>
          <w:ilvl w:val="0"/>
          <w:numId w:val="22"/>
        </w:numPr>
        <w:spacing w:after="0" w:line="260" w:lineRule="atLeast"/>
        <w:ind w:left="709" w:hanging="425"/>
        <w:rPr>
          <w:color w:val="000000"/>
          <w:sz w:val="17"/>
          <w:szCs w:val="17"/>
        </w:rPr>
      </w:pPr>
      <w:r w:rsidRPr="006E0F63">
        <w:rPr>
          <w:color w:val="000000"/>
          <w:sz w:val="17"/>
          <w:szCs w:val="17"/>
        </w:rPr>
        <w:t>Formele Versie Vaststelling door CIO-beraad</w:t>
      </w:r>
    </w:p>
    <w:p w:rsidR="008A4C2A" w:rsidRDefault="008A4C2A" w:rsidP="008A4C2A">
      <w:pPr>
        <w:spacing w:after="0" w:line="260" w:lineRule="atLeast"/>
        <w:rPr>
          <w:color w:val="000000"/>
          <w:sz w:val="17"/>
          <w:szCs w:val="17"/>
        </w:rPr>
      </w:pPr>
    </w:p>
    <w:p w:rsidR="00A510B4" w:rsidRDefault="00A510B4" w:rsidP="00A510B4">
      <w:pPr>
        <w:rPr>
          <w:b/>
          <w:sz w:val="17"/>
          <w:szCs w:val="17"/>
        </w:rPr>
      </w:pPr>
      <w:r>
        <w:rPr>
          <w:b/>
          <w:sz w:val="17"/>
          <w:szCs w:val="17"/>
        </w:rPr>
        <w:t>Bijlage bij dit advies:</w:t>
      </w:r>
    </w:p>
    <w:p w:rsidR="00A510B4" w:rsidRDefault="00683CAF" w:rsidP="00A510B4">
      <w:pPr>
        <w:pStyle w:val="Lijstalinea"/>
        <w:numPr>
          <w:ilvl w:val="0"/>
          <w:numId w:val="16"/>
        </w:numPr>
        <w:rPr>
          <w:sz w:val="17"/>
          <w:szCs w:val="17"/>
        </w:rPr>
      </w:pPr>
      <w:r>
        <w:rPr>
          <w:sz w:val="17"/>
          <w:szCs w:val="17"/>
        </w:rPr>
        <w:t xml:space="preserve">Bijlage </w:t>
      </w:r>
      <w:r w:rsidR="00A510B4">
        <w:rPr>
          <w:sz w:val="17"/>
          <w:szCs w:val="17"/>
        </w:rPr>
        <w:t>1</w:t>
      </w:r>
      <w:r>
        <w:rPr>
          <w:sz w:val="17"/>
          <w:szCs w:val="17"/>
        </w:rPr>
        <w:t xml:space="preserve">: </w:t>
      </w:r>
      <w:r w:rsidR="00A510B4">
        <w:rPr>
          <w:sz w:val="17"/>
          <w:szCs w:val="17"/>
        </w:rPr>
        <w:t xml:space="preserve">Aanmeldformulier voor registratie van </w:t>
      </w:r>
      <w:r w:rsidR="00B863BF">
        <w:rPr>
          <w:sz w:val="17"/>
          <w:szCs w:val="17"/>
        </w:rPr>
        <w:t>HORA v1.0</w:t>
      </w:r>
      <w:r w:rsidR="00A510B4">
        <w:rPr>
          <w:sz w:val="17"/>
          <w:szCs w:val="17"/>
        </w:rPr>
        <w:t>.docx</w:t>
      </w:r>
    </w:p>
    <w:p w:rsidR="006E0F63" w:rsidRDefault="006E0F63" w:rsidP="00315E7F">
      <w:pPr>
        <w:pStyle w:val="Lijstalinea"/>
        <w:numPr>
          <w:ilvl w:val="0"/>
          <w:numId w:val="16"/>
        </w:numPr>
        <w:rPr>
          <w:sz w:val="17"/>
          <w:szCs w:val="17"/>
        </w:rPr>
      </w:pPr>
      <w:r>
        <w:rPr>
          <w:sz w:val="17"/>
          <w:szCs w:val="17"/>
        </w:rPr>
        <w:t xml:space="preserve">Bijlage 2: </w:t>
      </w:r>
      <w:bookmarkStart w:id="0" w:name="_GoBack"/>
      <w:bookmarkEnd w:id="0"/>
      <w:r w:rsidR="00315E7F">
        <w:rPr>
          <w:sz w:val="17"/>
          <w:szCs w:val="17"/>
        </w:rPr>
        <w:fldChar w:fldCharType="begin"/>
      </w:r>
      <w:r w:rsidR="00315E7F">
        <w:rPr>
          <w:sz w:val="17"/>
          <w:szCs w:val="17"/>
        </w:rPr>
        <w:instrText xml:space="preserve"> HYPERLINK "http://</w:instrText>
      </w:r>
      <w:r w:rsidR="00315E7F" w:rsidRPr="00315E7F">
        <w:rPr>
          <w:sz w:val="17"/>
          <w:szCs w:val="17"/>
        </w:rPr>
        <w:instrText>www.wikixl.nl/wiki/hora</w:instrText>
      </w:r>
      <w:r w:rsidR="00315E7F">
        <w:rPr>
          <w:sz w:val="17"/>
          <w:szCs w:val="17"/>
        </w:rPr>
        <w:instrText xml:space="preserve">" </w:instrText>
      </w:r>
      <w:r w:rsidR="00315E7F">
        <w:rPr>
          <w:sz w:val="17"/>
          <w:szCs w:val="17"/>
        </w:rPr>
        <w:fldChar w:fldCharType="separate"/>
      </w:r>
      <w:r w:rsidR="00315E7F" w:rsidRPr="00EC2070">
        <w:rPr>
          <w:rStyle w:val="Hyperlink"/>
          <w:sz w:val="17"/>
          <w:szCs w:val="17"/>
        </w:rPr>
        <w:t>http://www.wikixl.nl/wiki/hora</w:t>
      </w:r>
      <w:r w:rsidR="00315E7F">
        <w:rPr>
          <w:sz w:val="17"/>
          <w:szCs w:val="17"/>
        </w:rPr>
        <w:fldChar w:fldCharType="end"/>
      </w:r>
      <w:r w:rsidR="00315E7F">
        <w:rPr>
          <w:sz w:val="17"/>
          <w:szCs w:val="17"/>
        </w:rPr>
        <w:t xml:space="preserve"> </w:t>
      </w:r>
    </w:p>
    <w:p w:rsidR="007405B2" w:rsidRDefault="007405B2">
      <w:pPr>
        <w:spacing w:after="0"/>
      </w:pPr>
      <w:r>
        <w:br w:type="page"/>
      </w:r>
    </w:p>
    <w:tbl>
      <w:tblPr>
        <w:tblStyle w:val="Tabelraster"/>
        <w:tblW w:w="0" w:type="auto"/>
        <w:tblLook w:val="04A0" w:firstRow="1" w:lastRow="0" w:firstColumn="1" w:lastColumn="0" w:noHBand="0" w:noVBand="1"/>
      </w:tblPr>
      <w:tblGrid>
        <w:gridCol w:w="9206"/>
      </w:tblGrid>
      <w:tr w:rsidR="00A510B4" w:rsidTr="00A510B4">
        <w:tc>
          <w:tcPr>
            <w:tcW w:w="9206" w:type="dxa"/>
            <w:tcBorders>
              <w:top w:val="single" w:sz="4" w:space="0" w:color="auto"/>
              <w:left w:val="single" w:sz="4" w:space="0" w:color="auto"/>
              <w:bottom w:val="single" w:sz="4" w:space="0" w:color="auto"/>
              <w:right w:val="single" w:sz="4" w:space="0" w:color="auto"/>
            </w:tcBorders>
            <w:shd w:val="clear" w:color="auto" w:fill="FFF4DB" w:themeFill="accent6" w:themeFillTint="33"/>
          </w:tcPr>
          <w:p w:rsidR="00A510B4" w:rsidRDefault="0063246B">
            <w:pPr>
              <w:rPr>
                <w:b/>
                <w:sz w:val="17"/>
                <w:szCs w:val="17"/>
              </w:rPr>
            </w:pPr>
            <w:r>
              <w:rPr>
                <w:noProof/>
                <w:lang w:eastAsia="nl-NL"/>
              </w:rPr>
              <w:lastRenderedPageBreak/>
              <w:drawing>
                <wp:anchor distT="0" distB="0" distL="114300" distR="114300" simplePos="0" relativeHeight="251661312" behindDoc="0" locked="0" layoutInCell="1" allowOverlap="1" wp14:anchorId="42512B62" wp14:editId="3EFA230C">
                  <wp:simplePos x="0" y="0"/>
                  <wp:positionH relativeFrom="column">
                    <wp:posOffset>5283963</wp:posOffset>
                  </wp:positionH>
                  <wp:positionV relativeFrom="paragraph">
                    <wp:posOffset>-177929</wp:posOffset>
                  </wp:positionV>
                  <wp:extent cx="657546" cy="657546"/>
                  <wp:effectExtent l="190500" t="190500" r="409575" b="390525"/>
                  <wp:wrapNone/>
                  <wp:docPr id="10" name="Afbeelding 10" descr="http://us.cdn4.123rf.com/168nwm/timurd/timurd1006/timurd100600015/7157838-groen-vinkje-geafa-soleerd-op-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cdn4.123rf.com/168nwm/timurd/timurd1006/timurd100600015/7157838-groen-vinkje-geafa-soleerd-op-wi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546" cy="657546"/>
                          </a:xfrm>
                          <a:prstGeom prst="rect">
                            <a:avLst/>
                          </a:prstGeom>
                          <a:ln w="3175">
                            <a:solidFill>
                              <a:schemeClr val="tx1">
                                <a:lumMod val="7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510B4" w:rsidRDefault="0063246B">
            <w:pPr>
              <w:rPr>
                <w:b/>
                <w:sz w:val="17"/>
                <w:szCs w:val="17"/>
              </w:rPr>
            </w:pPr>
            <w:r>
              <w:rPr>
                <w:b/>
                <w:sz w:val="17"/>
                <w:szCs w:val="17"/>
              </w:rPr>
              <w:t xml:space="preserve"> </w:t>
            </w:r>
            <w:r w:rsidR="00A510B4">
              <w:rPr>
                <w:b/>
                <w:sz w:val="17"/>
                <w:szCs w:val="17"/>
              </w:rPr>
              <w:t>Beoordeling van de referentiearchitectuur door BES:</w:t>
            </w:r>
          </w:p>
          <w:p w:rsidR="00A510B4" w:rsidRDefault="00A510B4">
            <w:pPr>
              <w:rPr>
                <w:sz w:val="17"/>
                <w:szCs w:val="17"/>
              </w:rPr>
            </w:pPr>
          </w:p>
          <w:p w:rsidR="00A510B4" w:rsidRDefault="00A510B4">
            <w:pPr>
              <w:rPr>
                <w:sz w:val="17"/>
                <w:szCs w:val="17"/>
              </w:rPr>
            </w:pPr>
            <w:r>
              <w:rPr>
                <w:sz w:val="17"/>
                <w:szCs w:val="17"/>
              </w:rPr>
              <w:t>Aan de hand van:</w:t>
            </w:r>
          </w:p>
          <w:p w:rsidR="00A510B4" w:rsidRDefault="00A510B4" w:rsidP="00A510B4">
            <w:pPr>
              <w:pStyle w:val="Lijstalinea"/>
              <w:numPr>
                <w:ilvl w:val="0"/>
                <w:numId w:val="15"/>
              </w:numPr>
              <w:rPr>
                <w:sz w:val="17"/>
                <w:szCs w:val="17"/>
              </w:rPr>
            </w:pPr>
            <w:r>
              <w:rPr>
                <w:sz w:val="17"/>
                <w:szCs w:val="17"/>
              </w:rPr>
              <w:t xml:space="preserve">de antwoorden op de vragen in het aanmeldformulier, </w:t>
            </w:r>
          </w:p>
          <w:p w:rsidR="00A510B4" w:rsidRDefault="00A510B4" w:rsidP="00A510B4">
            <w:pPr>
              <w:pStyle w:val="Lijstalinea"/>
              <w:numPr>
                <w:ilvl w:val="0"/>
                <w:numId w:val="15"/>
              </w:numPr>
              <w:rPr>
                <w:sz w:val="17"/>
                <w:szCs w:val="17"/>
              </w:rPr>
            </w:pPr>
            <w:r>
              <w:rPr>
                <w:sz w:val="17"/>
                <w:szCs w:val="17"/>
              </w:rPr>
              <w:t xml:space="preserve">een beschouwing van de ingediende referentiearchitectuur en meegeleverde bijlagen, </w:t>
            </w:r>
          </w:p>
          <w:p w:rsidR="00A510B4" w:rsidRDefault="00A510B4" w:rsidP="00A510B4">
            <w:pPr>
              <w:pStyle w:val="Lijstalinea"/>
              <w:numPr>
                <w:ilvl w:val="0"/>
                <w:numId w:val="15"/>
              </w:numPr>
              <w:rPr>
                <w:sz w:val="17"/>
                <w:szCs w:val="17"/>
              </w:rPr>
            </w:pPr>
            <w:r>
              <w:rPr>
                <w:sz w:val="17"/>
                <w:szCs w:val="17"/>
              </w:rPr>
              <w:t>gesprekken met de indiener,</w:t>
            </w:r>
          </w:p>
          <w:p w:rsidR="00A510B4" w:rsidRDefault="00A510B4" w:rsidP="00A510B4">
            <w:pPr>
              <w:pStyle w:val="Lijstalinea"/>
              <w:numPr>
                <w:ilvl w:val="0"/>
                <w:numId w:val="15"/>
              </w:numPr>
              <w:rPr>
                <w:sz w:val="17"/>
                <w:szCs w:val="17"/>
              </w:rPr>
            </w:pPr>
            <w:r>
              <w:rPr>
                <w:sz w:val="17"/>
                <w:szCs w:val="17"/>
              </w:rPr>
              <w:t xml:space="preserve">positieve ervaringen met </w:t>
            </w:r>
            <w:r w:rsidR="00AF3D55">
              <w:rPr>
                <w:sz w:val="17"/>
                <w:szCs w:val="17"/>
              </w:rPr>
              <w:t>een bijgewoonde architectuurberaad sessie</w:t>
            </w:r>
            <w:r>
              <w:rPr>
                <w:sz w:val="17"/>
                <w:szCs w:val="17"/>
              </w:rPr>
              <w:t xml:space="preserve">, en </w:t>
            </w:r>
          </w:p>
          <w:p w:rsidR="00A510B4" w:rsidRDefault="00A510B4" w:rsidP="00A510B4">
            <w:pPr>
              <w:pStyle w:val="Lijstalinea"/>
              <w:numPr>
                <w:ilvl w:val="0"/>
                <w:numId w:val="15"/>
              </w:numPr>
              <w:rPr>
                <w:sz w:val="17"/>
                <w:szCs w:val="17"/>
              </w:rPr>
            </w:pPr>
            <w:r>
              <w:rPr>
                <w:sz w:val="17"/>
                <w:szCs w:val="17"/>
              </w:rPr>
              <w:t>een inschatting van BES ten aanzien van de huidige status en de roadmap van de referentiearchitectuur</w:t>
            </w:r>
          </w:p>
          <w:p w:rsidR="00315E7F" w:rsidRDefault="00A510B4">
            <w:pPr>
              <w:rPr>
                <w:sz w:val="17"/>
                <w:szCs w:val="17"/>
              </w:rPr>
            </w:pPr>
            <w:r>
              <w:rPr>
                <w:sz w:val="17"/>
                <w:szCs w:val="17"/>
              </w:rPr>
              <w:t xml:space="preserve">… is </w:t>
            </w:r>
            <w:r w:rsidR="005D5699" w:rsidRPr="005D5699">
              <w:rPr>
                <w:b/>
                <w:sz w:val="17"/>
                <w:szCs w:val="17"/>
              </w:rPr>
              <w:t xml:space="preserve">BES </w:t>
            </w:r>
            <w:r w:rsidRPr="005D5699">
              <w:rPr>
                <w:b/>
                <w:sz w:val="17"/>
                <w:szCs w:val="17"/>
              </w:rPr>
              <w:t xml:space="preserve">van mening dat de </w:t>
            </w:r>
            <w:r w:rsidR="005D5699" w:rsidRPr="005D5699">
              <w:rPr>
                <w:b/>
                <w:sz w:val="17"/>
                <w:szCs w:val="17"/>
              </w:rPr>
              <w:t>referentie</w:t>
            </w:r>
            <w:r w:rsidRPr="005D5699">
              <w:rPr>
                <w:b/>
                <w:sz w:val="17"/>
                <w:szCs w:val="17"/>
              </w:rPr>
              <w:t xml:space="preserve">architectuur goed gebruikt </w:t>
            </w:r>
            <w:r w:rsidR="005D5699" w:rsidRPr="005D5699">
              <w:rPr>
                <w:b/>
                <w:sz w:val="17"/>
                <w:szCs w:val="17"/>
              </w:rPr>
              <w:t>kan</w:t>
            </w:r>
            <w:r w:rsidRPr="005D5699">
              <w:rPr>
                <w:b/>
                <w:sz w:val="17"/>
                <w:szCs w:val="17"/>
              </w:rPr>
              <w:t xml:space="preserve"> worden</w:t>
            </w:r>
            <w:r>
              <w:rPr>
                <w:sz w:val="17"/>
                <w:szCs w:val="17"/>
              </w:rPr>
              <w:t xml:space="preserve"> door</w:t>
            </w:r>
            <w:r w:rsidR="00315E7F">
              <w:rPr>
                <w:sz w:val="17"/>
                <w:szCs w:val="17"/>
              </w:rPr>
              <w:t>:</w:t>
            </w:r>
          </w:p>
          <w:p w:rsidR="00A510B4" w:rsidRDefault="00FA4631" w:rsidP="00FA4631">
            <w:pPr>
              <w:pStyle w:val="Lijstalinea"/>
              <w:numPr>
                <w:ilvl w:val="0"/>
                <w:numId w:val="15"/>
              </w:numPr>
              <w:rPr>
                <w:sz w:val="17"/>
                <w:szCs w:val="17"/>
              </w:rPr>
            </w:pPr>
            <w:r w:rsidRPr="00452BB1">
              <w:rPr>
                <w:b/>
                <w:i/>
                <w:sz w:val="17"/>
                <w:szCs w:val="17"/>
              </w:rPr>
              <w:t>onderwijsinstellingen</w:t>
            </w:r>
            <w:r>
              <w:rPr>
                <w:sz w:val="17"/>
                <w:szCs w:val="17"/>
              </w:rPr>
              <w:t xml:space="preserve"> </w:t>
            </w:r>
            <w:r w:rsidRPr="00FA4631">
              <w:rPr>
                <w:sz w:val="17"/>
                <w:szCs w:val="17"/>
              </w:rPr>
              <w:t>primair als basis voor het opstellen van een instelling</w:t>
            </w:r>
            <w:r w:rsidR="007338AD">
              <w:rPr>
                <w:sz w:val="17"/>
                <w:szCs w:val="17"/>
              </w:rPr>
              <w:t xml:space="preserve"> </w:t>
            </w:r>
            <w:r w:rsidRPr="00FA4631">
              <w:rPr>
                <w:sz w:val="17"/>
                <w:szCs w:val="17"/>
              </w:rPr>
              <w:t>specifieke architectuur. Ze is echter zo rijk (grotendeels gevuld sjabloon) dat het ook direct toegepast kan worden bij een instelling, zonder haar op maat te maken.</w:t>
            </w:r>
          </w:p>
          <w:p w:rsidR="00AF3D55" w:rsidRPr="00452BB1" w:rsidRDefault="00315E7F" w:rsidP="00315E7F">
            <w:pPr>
              <w:pStyle w:val="Lijstalinea"/>
              <w:numPr>
                <w:ilvl w:val="0"/>
                <w:numId w:val="15"/>
              </w:numPr>
              <w:rPr>
                <w:b/>
                <w:i/>
                <w:sz w:val="17"/>
                <w:szCs w:val="17"/>
              </w:rPr>
            </w:pPr>
            <w:r w:rsidRPr="00452BB1">
              <w:rPr>
                <w:b/>
                <w:i/>
                <w:sz w:val="17"/>
                <w:szCs w:val="17"/>
              </w:rPr>
              <w:t xml:space="preserve">de Architectuurraad </w:t>
            </w:r>
          </w:p>
          <w:p w:rsidR="00AF3D55" w:rsidRDefault="00AF3D55" w:rsidP="00AF3D55">
            <w:pPr>
              <w:pStyle w:val="Lijstalinea"/>
              <w:numPr>
                <w:ilvl w:val="1"/>
                <w:numId w:val="15"/>
              </w:numPr>
              <w:rPr>
                <w:sz w:val="17"/>
                <w:szCs w:val="17"/>
              </w:rPr>
            </w:pPr>
            <w:r>
              <w:rPr>
                <w:sz w:val="17"/>
                <w:szCs w:val="17"/>
              </w:rPr>
              <w:t xml:space="preserve">als best </w:t>
            </w:r>
            <w:proofErr w:type="spellStart"/>
            <w:r>
              <w:rPr>
                <w:sz w:val="17"/>
                <w:szCs w:val="17"/>
              </w:rPr>
              <w:t>practice</w:t>
            </w:r>
            <w:proofErr w:type="spellEnd"/>
            <w:r>
              <w:rPr>
                <w:sz w:val="17"/>
                <w:szCs w:val="17"/>
              </w:rPr>
              <w:t xml:space="preserve"> </w:t>
            </w:r>
            <w:r>
              <w:rPr>
                <w:sz w:val="17"/>
                <w:szCs w:val="17"/>
              </w:rPr>
              <w:t xml:space="preserve">(en mogelijk zelfs benchmark) </w:t>
            </w:r>
            <w:r>
              <w:rPr>
                <w:sz w:val="17"/>
                <w:szCs w:val="17"/>
              </w:rPr>
              <w:t>voor</w:t>
            </w:r>
            <w:r>
              <w:rPr>
                <w:sz w:val="17"/>
                <w:szCs w:val="17"/>
              </w:rPr>
              <w:t xml:space="preserve"> </w:t>
            </w:r>
            <w:r w:rsidR="00315E7F">
              <w:rPr>
                <w:sz w:val="17"/>
                <w:szCs w:val="17"/>
              </w:rPr>
              <w:t>de opzet, het beheer en de toepassing van referentie architecturen</w:t>
            </w:r>
          </w:p>
          <w:p w:rsidR="00315E7F" w:rsidRDefault="00AF3D55" w:rsidP="00AF3D55">
            <w:pPr>
              <w:pStyle w:val="Lijstalinea"/>
              <w:numPr>
                <w:ilvl w:val="1"/>
                <w:numId w:val="15"/>
              </w:numPr>
              <w:rPr>
                <w:sz w:val="17"/>
                <w:szCs w:val="17"/>
              </w:rPr>
            </w:pPr>
            <w:r>
              <w:rPr>
                <w:sz w:val="17"/>
                <w:szCs w:val="17"/>
              </w:rPr>
              <w:t>voor het leggen van relaties met andere referentiearchitecturen</w:t>
            </w:r>
          </w:p>
          <w:p w:rsidR="00A510B4" w:rsidRDefault="00A510B4">
            <w:pPr>
              <w:rPr>
                <w:sz w:val="17"/>
                <w:szCs w:val="17"/>
              </w:rPr>
            </w:pPr>
          </w:p>
          <w:p w:rsidR="00D72F6A" w:rsidRDefault="00D72F6A" w:rsidP="00D72F6A">
            <w:pPr>
              <w:rPr>
                <w:sz w:val="17"/>
                <w:szCs w:val="17"/>
              </w:rPr>
            </w:pPr>
            <w:r w:rsidRPr="005D5699">
              <w:rPr>
                <w:b/>
                <w:i/>
                <w:sz w:val="17"/>
                <w:szCs w:val="17"/>
              </w:rPr>
              <w:t xml:space="preserve">Pareltjes </w:t>
            </w:r>
            <w:r w:rsidR="00D14A8D" w:rsidRPr="005D5699">
              <w:rPr>
                <w:b/>
                <w:i/>
                <w:sz w:val="17"/>
                <w:szCs w:val="17"/>
              </w:rPr>
              <w:t>van</w:t>
            </w:r>
            <w:r w:rsidRPr="005D5699">
              <w:rPr>
                <w:b/>
                <w:i/>
                <w:sz w:val="17"/>
                <w:szCs w:val="17"/>
              </w:rPr>
              <w:t xml:space="preserve"> de referentiearchitectuur</w:t>
            </w:r>
            <w:r>
              <w:rPr>
                <w:sz w:val="17"/>
                <w:szCs w:val="17"/>
              </w:rPr>
              <w:t xml:space="preserve"> </w:t>
            </w:r>
            <w:r w:rsidR="00ED66AC">
              <w:rPr>
                <w:sz w:val="17"/>
                <w:szCs w:val="17"/>
              </w:rPr>
              <w:t>zijn:</w:t>
            </w:r>
          </w:p>
          <w:p w:rsidR="00ED66AC" w:rsidRDefault="00ED66AC" w:rsidP="00ED66AC">
            <w:pPr>
              <w:pStyle w:val="Lijstalinea"/>
              <w:numPr>
                <w:ilvl w:val="0"/>
                <w:numId w:val="15"/>
              </w:numPr>
              <w:rPr>
                <w:sz w:val="17"/>
                <w:szCs w:val="17"/>
              </w:rPr>
            </w:pPr>
            <w:r>
              <w:rPr>
                <w:sz w:val="17"/>
                <w:szCs w:val="17"/>
              </w:rPr>
              <w:t xml:space="preserve">De structuur van de HORA </w:t>
            </w:r>
            <w:r w:rsidR="00C70C5E">
              <w:rPr>
                <w:sz w:val="17"/>
                <w:szCs w:val="17"/>
              </w:rPr>
              <w:t xml:space="preserve">(architectuurvisie, referentiemodellen en implementatiehulpmiddelen) </w:t>
            </w:r>
            <w:r>
              <w:rPr>
                <w:sz w:val="17"/>
                <w:szCs w:val="17"/>
              </w:rPr>
              <w:t xml:space="preserve">zorgt daadwerkelijk voor een praktische </w:t>
            </w:r>
            <w:r w:rsidRPr="00ED66AC">
              <w:rPr>
                <w:sz w:val="17"/>
                <w:szCs w:val="17"/>
              </w:rPr>
              <w:t xml:space="preserve">verzameling van instrumenten voor het inrichten van de organisatie en informatiehuishouding van Nederlandse instellingen voor Hoger </w:t>
            </w:r>
            <w:r w:rsidRPr="00ED66AC">
              <w:rPr>
                <w:sz w:val="17"/>
                <w:szCs w:val="17"/>
              </w:rPr>
              <w:t>Onderwijs</w:t>
            </w:r>
            <w:r>
              <w:rPr>
                <w:sz w:val="17"/>
                <w:szCs w:val="17"/>
              </w:rPr>
              <w:t>.</w:t>
            </w:r>
            <w:r w:rsidR="00C70C5E">
              <w:rPr>
                <w:sz w:val="17"/>
                <w:szCs w:val="17"/>
              </w:rPr>
              <w:t xml:space="preserve"> En is daarmee een sprekend voorbeeld voor hoe een referentie architectuur ook in andere sectoren kan worden toegapast. Zoals in de architectuur wordt genoemd bouwt het voort op inzichten van o.a. de </w:t>
            </w:r>
            <w:proofErr w:type="spellStart"/>
            <w:r w:rsidR="00C70C5E">
              <w:rPr>
                <w:sz w:val="17"/>
                <w:szCs w:val="17"/>
              </w:rPr>
              <w:t>TripleA</w:t>
            </w:r>
            <w:proofErr w:type="spellEnd"/>
            <w:r w:rsidR="00C70C5E">
              <w:rPr>
                <w:sz w:val="17"/>
                <w:szCs w:val="17"/>
              </w:rPr>
              <w:t xml:space="preserve"> referentie architectuur, wat resulteert in een nog completere instrument.</w:t>
            </w:r>
          </w:p>
          <w:p w:rsidR="00D14A8D" w:rsidRDefault="00D14A8D" w:rsidP="00D14A8D">
            <w:pPr>
              <w:pStyle w:val="Lijstalinea"/>
              <w:numPr>
                <w:ilvl w:val="0"/>
                <w:numId w:val="15"/>
              </w:numPr>
              <w:rPr>
                <w:sz w:val="17"/>
                <w:szCs w:val="17"/>
              </w:rPr>
            </w:pPr>
            <w:r>
              <w:rPr>
                <w:sz w:val="17"/>
                <w:szCs w:val="17"/>
              </w:rPr>
              <w:t>Actieve beheer en gestructureerde governance.</w:t>
            </w:r>
          </w:p>
          <w:p w:rsidR="004A177E" w:rsidRDefault="004A177E" w:rsidP="00ED66AC">
            <w:pPr>
              <w:pStyle w:val="Lijstalinea"/>
              <w:numPr>
                <w:ilvl w:val="0"/>
                <w:numId w:val="15"/>
              </w:numPr>
              <w:rPr>
                <w:sz w:val="17"/>
                <w:szCs w:val="17"/>
              </w:rPr>
            </w:pPr>
            <w:r>
              <w:rPr>
                <w:sz w:val="17"/>
                <w:szCs w:val="17"/>
              </w:rPr>
              <w:t xml:space="preserve">Grote betrokkenheid (hoge opkomst van architecten voor bijeenkomsten </w:t>
            </w:r>
            <w:r>
              <w:rPr>
                <w:sz w:val="17"/>
                <w:szCs w:val="17"/>
              </w:rPr>
              <w:t>van het Architectuurberaad</w:t>
            </w:r>
            <w:r>
              <w:rPr>
                <w:sz w:val="17"/>
                <w:szCs w:val="17"/>
              </w:rPr>
              <w:t>)</w:t>
            </w:r>
            <w:r w:rsidR="00D14A8D">
              <w:rPr>
                <w:sz w:val="17"/>
                <w:szCs w:val="17"/>
              </w:rPr>
              <w:t>. Daardoor veel ervaring bij elkaar wat zowel de kennisdeling bevordert als de kwaliteit van de referentiearchitectuur zelf ten goede komt.</w:t>
            </w:r>
          </w:p>
          <w:p w:rsidR="004A177E" w:rsidRDefault="004A177E" w:rsidP="004A177E">
            <w:pPr>
              <w:pStyle w:val="Lijstalinea"/>
              <w:numPr>
                <w:ilvl w:val="0"/>
                <w:numId w:val="15"/>
              </w:numPr>
              <w:rPr>
                <w:sz w:val="17"/>
                <w:szCs w:val="17"/>
              </w:rPr>
            </w:pPr>
            <w:r>
              <w:rPr>
                <w:sz w:val="17"/>
                <w:szCs w:val="17"/>
              </w:rPr>
              <w:t xml:space="preserve">Concrete problemen (ingebracht door </w:t>
            </w:r>
            <w:r w:rsidRPr="004A177E">
              <w:rPr>
                <w:sz w:val="17"/>
                <w:szCs w:val="17"/>
              </w:rPr>
              <w:t>gastsprekers uit instellingen</w:t>
            </w:r>
            <w:r>
              <w:rPr>
                <w:sz w:val="17"/>
                <w:szCs w:val="17"/>
              </w:rPr>
              <w:t>) en architectuur wordt aantoonbaar als instrument op instellingen toegepast</w:t>
            </w:r>
            <w:r w:rsidR="00D14A8D">
              <w:rPr>
                <w:sz w:val="17"/>
                <w:szCs w:val="17"/>
              </w:rPr>
              <w:t>.</w:t>
            </w:r>
          </w:p>
          <w:p w:rsidR="00D14A8D" w:rsidRDefault="00D14A8D" w:rsidP="001D0F43">
            <w:pPr>
              <w:pStyle w:val="Lijstalinea"/>
              <w:numPr>
                <w:ilvl w:val="0"/>
                <w:numId w:val="15"/>
              </w:numPr>
              <w:rPr>
                <w:sz w:val="17"/>
                <w:szCs w:val="17"/>
              </w:rPr>
            </w:pPr>
            <w:r>
              <w:rPr>
                <w:sz w:val="17"/>
                <w:szCs w:val="17"/>
              </w:rPr>
              <w:t>Concrete voorbeelden</w:t>
            </w:r>
            <w:r w:rsidR="001D0F43">
              <w:rPr>
                <w:sz w:val="17"/>
                <w:szCs w:val="17"/>
              </w:rPr>
              <w:t>,</w:t>
            </w:r>
            <w:r>
              <w:rPr>
                <w:sz w:val="17"/>
                <w:szCs w:val="17"/>
              </w:rPr>
              <w:t xml:space="preserve"> </w:t>
            </w:r>
            <w:r w:rsidR="001D0F43">
              <w:rPr>
                <w:sz w:val="17"/>
                <w:szCs w:val="17"/>
              </w:rPr>
              <w:t xml:space="preserve">bijvoorbeeld het overzicht van </w:t>
            </w:r>
            <w:r w:rsidR="001D0F43" w:rsidRPr="001D0F43">
              <w:rPr>
                <w:sz w:val="17"/>
                <w:szCs w:val="17"/>
              </w:rPr>
              <w:t xml:space="preserve">de belangrijkste criteria om IT-diensten in de </w:t>
            </w:r>
            <w:proofErr w:type="spellStart"/>
            <w:r w:rsidR="001D0F43" w:rsidRPr="001D0F43">
              <w:rPr>
                <w:sz w:val="17"/>
                <w:szCs w:val="17"/>
              </w:rPr>
              <w:t>cloud</w:t>
            </w:r>
            <w:proofErr w:type="spellEnd"/>
            <w:r w:rsidR="001D0F43">
              <w:rPr>
                <w:sz w:val="17"/>
                <w:szCs w:val="17"/>
              </w:rPr>
              <w:t xml:space="preserve"> </w:t>
            </w:r>
            <w:r w:rsidR="001D0F43" w:rsidRPr="001D0F43">
              <w:rPr>
                <w:sz w:val="17"/>
                <w:szCs w:val="17"/>
              </w:rPr>
              <w:t>te plaatsen</w:t>
            </w:r>
            <w:r w:rsidR="001D0F43">
              <w:rPr>
                <w:sz w:val="17"/>
                <w:szCs w:val="17"/>
              </w:rPr>
              <w:t xml:space="preserve">, is niet alleen voor instellingen een handig instrument, maar is ook een bruikbare “binnenkomer” voor leveranciers van </w:t>
            </w:r>
            <w:proofErr w:type="spellStart"/>
            <w:r w:rsidR="001D0F43">
              <w:rPr>
                <w:sz w:val="17"/>
                <w:szCs w:val="17"/>
              </w:rPr>
              <w:t>clouddiensten</w:t>
            </w:r>
            <w:proofErr w:type="spellEnd"/>
            <w:r w:rsidR="001D0F43">
              <w:rPr>
                <w:sz w:val="17"/>
                <w:szCs w:val="17"/>
              </w:rPr>
              <w:t>.</w:t>
            </w:r>
          </w:p>
          <w:p w:rsidR="00AF3D55" w:rsidRDefault="00AF3D55">
            <w:pPr>
              <w:rPr>
                <w:sz w:val="17"/>
                <w:szCs w:val="17"/>
              </w:rPr>
            </w:pPr>
          </w:p>
          <w:p w:rsidR="00A510B4" w:rsidRDefault="00A510B4">
            <w:pPr>
              <w:rPr>
                <w:sz w:val="17"/>
                <w:szCs w:val="17"/>
              </w:rPr>
            </w:pPr>
            <w:r w:rsidRPr="005D5699">
              <w:rPr>
                <w:b/>
                <w:i/>
                <w:sz w:val="17"/>
                <w:szCs w:val="17"/>
              </w:rPr>
              <w:t>BES adviseert</w:t>
            </w:r>
            <w:r>
              <w:rPr>
                <w:sz w:val="17"/>
                <w:szCs w:val="17"/>
              </w:rPr>
              <w:t xml:space="preserve"> nog wel </w:t>
            </w:r>
            <w:r w:rsidR="000D62C3">
              <w:rPr>
                <w:sz w:val="17"/>
                <w:szCs w:val="17"/>
              </w:rPr>
              <w:t xml:space="preserve">om </w:t>
            </w:r>
            <w:r w:rsidR="000D62C3" w:rsidRPr="00452BB1">
              <w:rPr>
                <w:b/>
                <w:i/>
                <w:sz w:val="17"/>
                <w:szCs w:val="17"/>
              </w:rPr>
              <w:t xml:space="preserve">overlap </w:t>
            </w:r>
            <w:r w:rsidRPr="00452BB1">
              <w:rPr>
                <w:b/>
                <w:i/>
                <w:sz w:val="17"/>
                <w:szCs w:val="17"/>
              </w:rPr>
              <w:t>inzichtelijk te maken</w:t>
            </w:r>
            <w:r>
              <w:rPr>
                <w:sz w:val="17"/>
                <w:szCs w:val="17"/>
              </w:rPr>
              <w:t xml:space="preserve"> tussen deze referentiearchitectuur en aanverwante referentiearchitecturen zoals </w:t>
            </w:r>
            <w:r w:rsidR="00B863BF">
              <w:rPr>
                <w:sz w:val="17"/>
                <w:szCs w:val="17"/>
              </w:rPr>
              <w:t xml:space="preserve">ROSA v3.0, </w:t>
            </w:r>
            <w:proofErr w:type="spellStart"/>
            <w:r w:rsidR="00B863BF">
              <w:rPr>
                <w:sz w:val="17"/>
                <w:szCs w:val="17"/>
              </w:rPr>
              <w:t>TripleA</w:t>
            </w:r>
            <w:proofErr w:type="spellEnd"/>
            <w:r w:rsidR="00C27CA0">
              <w:rPr>
                <w:sz w:val="17"/>
                <w:szCs w:val="17"/>
              </w:rPr>
              <w:t xml:space="preserve"> </w:t>
            </w:r>
            <w:r w:rsidR="00B863BF">
              <w:rPr>
                <w:sz w:val="17"/>
                <w:szCs w:val="17"/>
              </w:rPr>
              <w:t>en de ECK-architectuur</w:t>
            </w:r>
            <w:r>
              <w:rPr>
                <w:sz w:val="17"/>
                <w:szCs w:val="17"/>
              </w:rPr>
              <w:t>.</w:t>
            </w:r>
            <w:r w:rsidR="00B863BF">
              <w:rPr>
                <w:sz w:val="17"/>
                <w:szCs w:val="17"/>
              </w:rPr>
              <w:t xml:space="preserve"> Hierbij kan o.a. </w:t>
            </w:r>
            <w:r w:rsidR="00B863BF" w:rsidRPr="000D62C3">
              <w:rPr>
                <w:i/>
                <w:sz w:val="17"/>
                <w:szCs w:val="17"/>
              </w:rPr>
              <w:t>gebruik gemaakt worden van het KOI en de KOI-methode</w:t>
            </w:r>
            <w:r w:rsidR="00B863BF">
              <w:rPr>
                <w:sz w:val="17"/>
                <w:szCs w:val="17"/>
              </w:rPr>
              <w:t xml:space="preserve"> om het informatiemodel aan te relateren en </w:t>
            </w:r>
            <w:r w:rsidR="00B863BF" w:rsidRPr="000D62C3">
              <w:rPr>
                <w:i/>
                <w:sz w:val="17"/>
                <w:szCs w:val="17"/>
              </w:rPr>
              <w:t>het zeggenschapsmodel zoals gebruikt in ROSA</w:t>
            </w:r>
            <w:r w:rsidR="00B863BF">
              <w:rPr>
                <w:sz w:val="17"/>
                <w:szCs w:val="17"/>
              </w:rPr>
              <w:t xml:space="preserve"> </w:t>
            </w:r>
            <w:r w:rsidR="00B863BF" w:rsidRPr="00B863BF">
              <w:rPr>
                <w:sz w:val="17"/>
                <w:szCs w:val="17"/>
              </w:rPr>
              <w:t>om zicht te krijgen op welke gegevens meer vertrouwelijk zijn dan andere en welke maatregelen noodzakelijk zijn voor het borgen van integriteit en vertrouwelijkheid</w:t>
            </w:r>
            <w:r w:rsidR="00B863BF">
              <w:rPr>
                <w:sz w:val="17"/>
                <w:szCs w:val="17"/>
              </w:rPr>
              <w:t>.</w:t>
            </w:r>
          </w:p>
          <w:p w:rsidR="00ED66AC" w:rsidRDefault="00ED66AC">
            <w:pPr>
              <w:rPr>
                <w:sz w:val="17"/>
                <w:szCs w:val="17"/>
              </w:rPr>
            </w:pPr>
            <w:r>
              <w:rPr>
                <w:sz w:val="17"/>
                <w:szCs w:val="17"/>
              </w:rPr>
              <w:t xml:space="preserve">Daarnaast adviseert BES om meer expliciet en gestructureerd een </w:t>
            </w:r>
            <w:r w:rsidRPr="00452BB1">
              <w:rPr>
                <w:b/>
                <w:i/>
                <w:sz w:val="17"/>
                <w:szCs w:val="17"/>
              </w:rPr>
              <w:t>overzicht van te gebruiken standaarden</w:t>
            </w:r>
            <w:r>
              <w:rPr>
                <w:sz w:val="17"/>
                <w:szCs w:val="17"/>
              </w:rPr>
              <w:t xml:space="preserve"> </w:t>
            </w:r>
            <w:r w:rsidR="000D62C3" w:rsidRPr="000D62C3">
              <w:rPr>
                <w:sz w:val="17"/>
                <w:szCs w:val="17"/>
              </w:rPr>
              <w:t xml:space="preserve">te geven </w:t>
            </w:r>
            <w:r>
              <w:rPr>
                <w:sz w:val="17"/>
                <w:szCs w:val="17"/>
              </w:rPr>
              <w:t xml:space="preserve">en daarbij handvaten te bieden </w:t>
            </w:r>
            <w:r w:rsidR="000D62C3">
              <w:rPr>
                <w:sz w:val="17"/>
                <w:szCs w:val="17"/>
              </w:rPr>
              <w:t xml:space="preserve">voor </w:t>
            </w:r>
            <w:r w:rsidR="000D62C3" w:rsidRPr="000D62C3">
              <w:rPr>
                <w:i/>
                <w:sz w:val="17"/>
                <w:szCs w:val="17"/>
              </w:rPr>
              <w:t>te gebruiken</w:t>
            </w:r>
            <w:r w:rsidR="000D62C3">
              <w:rPr>
                <w:sz w:val="17"/>
                <w:szCs w:val="17"/>
              </w:rPr>
              <w:t xml:space="preserve"> </w:t>
            </w:r>
            <w:r w:rsidR="000D62C3" w:rsidRPr="000D62C3">
              <w:rPr>
                <w:i/>
                <w:sz w:val="17"/>
                <w:szCs w:val="17"/>
              </w:rPr>
              <w:t>keuze</w:t>
            </w:r>
            <w:r w:rsidR="000D62C3">
              <w:rPr>
                <w:i/>
                <w:sz w:val="17"/>
                <w:szCs w:val="17"/>
              </w:rPr>
              <w:t>criteria</w:t>
            </w:r>
            <w:r w:rsidR="000D62C3">
              <w:rPr>
                <w:sz w:val="17"/>
                <w:szCs w:val="17"/>
              </w:rPr>
              <w:t>.</w:t>
            </w:r>
          </w:p>
          <w:p w:rsidR="00ED66AC" w:rsidRPr="000D62C3" w:rsidRDefault="00ED66AC" w:rsidP="000D62C3">
            <w:pPr>
              <w:pStyle w:val="Lijstalinea"/>
              <w:numPr>
                <w:ilvl w:val="0"/>
                <w:numId w:val="25"/>
              </w:numPr>
              <w:rPr>
                <w:sz w:val="17"/>
                <w:szCs w:val="17"/>
              </w:rPr>
            </w:pPr>
            <w:r w:rsidRPr="000D62C3">
              <w:rPr>
                <w:sz w:val="17"/>
                <w:szCs w:val="17"/>
              </w:rPr>
              <w:t>Voor beide activiteiten biedt BES aan om daar een bijdrage aan te leveren, omdat deze inzichten en overzichten ook van toegevoegde waarde zijn voor andere stakeholders in het onderwijsdomein.</w:t>
            </w:r>
          </w:p>
          <w:p w:rsidR="00A510B4" w:rsidRDefault="00A510B4" w:rsidP="00A510B4">
            <w:pPr>
              <w:rPr>
                <w:sz w:val="17"/>
                <w:szCs w:val="17"/>
              </w:rPr>
            </w:pPr>
          </w:p>
        </w:tc>
      </w:tr>
    </w:tbl>
    <w:p w:rsidR="00A510B4" w:rsidRPr="002F0DC8" w:rsidRDefault="00A510B4" w:rsidP="002F0DC8"/>
    <w:sectPr w:rsidR="00A510B4" w:rsidRPr="002F0DC8" w:rsidSect="002F0DC8">
      <w:head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FE" w:rsidRDefault="005943FE">
      <w:r>
        <w:separator/>
      </w:r>
    </w:p>
  </w:endnote>
  <w:endnote w:type="continuationSeparator" w:id="0">
    <w:p w:rsidR="005943FE" w:rsidRDefault="0059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FE" w:rsidRDefault="005943FE">
      <w:r>
        <w:separator/>
      </w:r>
    </w:p>
  </w:footnote>
  <w:footnote w:type="continuationSeparator" w:id="0">
    <w:p w:rsidR="005943FE" w:rsidRDefault="00594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07" w:rsidRDefault="005C7807" w:rsidP="004D7E4C">
    <w:pPr>
      <w:pStyle w:val="Koptekst"/>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1D211EEB"/>
    <w:multiLevelType w:val="hybridMultilevel"/>
    <w:tmpl w:val="C98A56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D3A11BE"/>
    <w:multiLevelType w:val="hybridMultilevel"/>
    <w:tmpl w:val="AC666250"/>
    <w:lvl w:ilvl="0" w:tplc="257210E0">
      <w:numFmt w:val="bullet"/>
      <w:lvlText w:val=""/>
      <w:lvlJc w:val="left"/>
      <w:pPr>
        <w:ind w:left="720" w:hanging="360"/>
      </w:pPr>
      <w:rPr>
        <w:rFonts w:ascii="Wingdings" w:eastAsia="SimSu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4">
    <w:nsid w:val="40397C46"/>
    <w:multiLevelType w:val="hybridMultilevel"/>
    <w:tmpl w:val="9D28AAB0"/>
    <w:lvl w:ilvl="0" w:tplc="47841838">
      <w:numFmt w:val="bullet"/>
      <w:lvlText w:val="-"/>
      <w:lvlJc w:val="left"/>
      <w:pPr>
        <w:ind w:left="720" w:hanging="360"/>
      </w:pPr>
      <w:rPr>
        <w:rFonts w:ascii="Verdana" w:eastAsia="SimSu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68576FC"/>
    <w:multiLevelType w:val="hybridMultilevel"/>
    <w:tmpl w:val="D0FAB9FA"/>
    <w:lvl w:ilvl="0" w:tplc="CBE83D72">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95679E2"/>
    <w:multiLevelType w:val="hybridMultilevel"/>
    <w:tmpl w:val="2A22B7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5BA063B6"/>
    <w:multiLevelType w:val="hybridMultilevel"/>
    <w:tmpl w:val="FCD066C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5DFF3EB4"/>
    <w:multiLevelType w:val="hybridMultilevel"/>
    <w:tmpl w:val="76E4A8E4"/>
    <w:lvl w:ilvl="0" w:tplc="6396048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1FF3407"/>
    <w:multiLevelType w:val="hybridMultilevel"/>
    <w:tmpl w:val="24203AEE"/>
    <w:lvl w:ilvl="0" w:tplc="6396048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A911993"/>
    <w:multiLevelType w:val="hybridMultilevel"/>
    <w:tmpl w:val="F22E68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22">
    <w:nsid w:val="7BD1467A"/>
    <w:multiLevelType w:val="hybridMultilevel"/>
    <w:tmpl w:val="DACEA896"/>
    <w:lvl w:ilvl="0" w:tplc="6396048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DD0721C"/>
    <w:multiLevelType w:val="hybridMultilevel"/>
    <w:tmpl w:val="F12E02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13"/>
  </w:num>
  <w:num w:numId="14">
    <w:abstractNumId w:val="11"/>
  </w:num>
  <w:num w:numId="15">
    <w:abstractNumId w:val="20"/>
  </w:num>
  <w:num w:numId="16">
    <w:abstractNumId w:val="16"/>
  </w:num>
  <w:num w:numId="17">
    <w:abstractNumId w:val="17"/>
  </w:num>
  <w:num w:numId="18">
    <w:abstractNumId w:val="10"/>
  </w:num>
  <w:num w:numId="19">
    <w:abstractNumId w:val="19"/>
  </w:num>
  <w:num w:numId="20">
    <w:abstractNumId w:val="22"/>
  </w:num>
  <w:num w:numId="21">
    <w:abstractNumId w:val="18"/>
  </w:num>
  <w:num w:numId="22">
    <w:abstractNumId w:val="15"/>
  </w:num>
  <w:num w:numId="23">
    <w:abstractNumId w:val="14"/>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B4"/>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62C3"/>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D1"/>
    <w:rsid w:val="00167352"/>
    <w:rsid w:val="0017111D"/>
    <w:rsid w:val="00175DB1"/>
    <w:rsid w:val="00180295"/>
    <w:rsid w:val="001806B4"/>
    <w:rsid w:val="00185D2A"/>
    <w:rsid w:val="00186D32"/>
    <w:rsid w:val="001879CC"/>
    <w:rsid w:val="001879E6"/>
    <w:rsid w:val="00195E95"/>
    <w:rsid w:val="00197A0D"/>
    <w:rsid w:val="001A2D5C"/>
    <w:rsid w:val="001B401F"/>
    <w:rsid w:val="001B5563"/>
    <w:rsid w:val="001B606A"/>
    <w:rsid w:val="001C1D31"/>
    <w:rsid w:val="001D0F43"/>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15E7F"/>
    <w:rsid w:val="003243DA"/>
    <w:rsid w:val="0032628D"/>
    <w:rsid w:val="00330EED"/>
    <w:rsid w:val="0033231E"/>
    <w:rsid w:val="00342731"/>
    <w:rsid w:val="00353BAB"/>
    <w:rsid w:val="00357A73"/>
    <w:rsid w:val="003655D5"/>
    <w:rsid w:val="00365C1F"/>
    <w:rsid w:val="00366C3F"/>
    <w:rsid w:val="00371969"/>
    <w:rsid w:val="00371D3B"/>
    <w:rsid w:val="0037340E"/>
    <w:rsid w:val="00374145"/>
    <w:rsid w:val="00375ED9"/>
    <w:rsid w:val="00376B03"/>
    <w:rsid w:val="00377CBE"/>
    <w:rsid w:val="00383D67"/>
    <w:rsid w:val="00386117"/>
    <w:rsid w:val="00393F6D"/>
    <w:rsid w:val="00396CEF"/>
    <w:rsid w:val="003A7798"/>
    <w:rsid w:val="003B3F84"/>
    <w:rsid w:val="003B5E75"/>
    <w:rsid w:val="003C0755"/>
    <w:rsid w:val="003C433A"/>
    <w:rsid w:val="003F0564"/>
    <w:rsid w:val="003F0EB0"/>
    <w:rsid w:val="003F63C3"/>
    <w:rsid w:val="00414780"/>
    <w:rsid w:val="00420276"/>
    <w:rsid w:val="00420BB2"/>
    <w:rsid w:val="00430E65"/>
    <w:rsid w:val="00440A16"/>
    <w:rsid w:val="00442581"/>
    <w:rsid w:val="00442989"/>
    <w:rsid w:val="004456FD"/>
    <w:rsid w:val="00452BB1"/>
    <w:rsid w:val="004565BF"/>
    <w:rsid w:val="00456AF7"/>
    <w:rsid w:val="00460EA8"/>
    <w:rsid w:val="00462719"/>
    <w:rsid w:val="004652F4"/>
    <w:rsid w:val="00476FE1"/>
    <w:rsid w:val="00482BD2"/>
    <w:rsid w:val="00486965"/>
    <w:rsid w:val="00486DD1"/>
    <w:rsid w:val="00487C9C"/>
    <w:rsid w:val="004A177E"/>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43FE"/>
    <w:rsid w:val="00596466"/>
    <w:rsid w:val="00596DDD"/>
    <w:rsid w:val="005A0009"/>
    <w:rsid w:val="005A5716"/>
    <w:rsid w:val="005B5CBC"/>
    <w:rsid w:val="005C3F58"/>
    <w:rsid w:val="005C550D"/>
    <w:rsid w:val="005C65B1"/>
    <w:rsid w:val="005C7807"/>
    <w:rsid w:val="005D5699"/>
    <w:rsid w:val="005E655A"/>
    <w:rsid w:val="00600272"/>
    <w:rsid w:val="006009DD"/>
    <w:rsid w:val="00606556"/>
    <w:rsid w:val="00607249"/>
    <w:rsid w:val="006143A0"/>
    <w:rsid w:val="0062326C"/>
    <w:rsid w:val="00626624"/>
    <w:rsid w:val="0062693B"/>
    <w:rsid w:val="006307D5"/>
    <w:rsid w:val="0063246B"/>
    <w:rsid w:val="00635046"/>
    <w:rsid w:val="006378A2"/>
    <w:rsid w:val="006437D8"/>
    <w:rsid w:val="006438AA"/>
    <w:rsid w:val="00647CE1"/>
    <w:rsid w:val="00656066"/>
    <w:rsid w:val="00657264"/>
    <w:rsid w:val="00670A94"/>
    <w:rsid w:val="00674971"/>
    <w:rsid w:val="00680658"/>
    <w:rsid w:val="00683CAF"/>
    <w:rsid w:val="00687186"/>
    <w:rsid w:val="00690536"/>
    <w:rsid w:val="00695370"/>
    <w:rsid w:val="006A556A"/>
    <w:rsid w:val="006A5DCA"/>
    <w:rsid w:val="006A6BEE"/>
    <w:rsid w:val="006A7ACE"/>
    <w:rsid w:val="006B4409"/>
    <w:rsid w:val="006C42B6"/>
    <w:rsid w:val="006C42F1"/>
    <w:rsid w:val="006C5F3A"/>
    <w:rsid w:val="006C7ECE"/>
    <w:rsid w:val="006D5C5B"/>
    <w:rsid w:val="006E0F63"/>
    <w:rsid w:val="006E39DD"/>
    <w:rsid w:val="006E54D8"/>
    <w:rsid w:val="006F020D"/>
    <w:rsid w:val="006F28FB"/>
    <w:rsid w:val="006F32B2"/>
    <w:rsid w:val="0070557B"/>
    <w:rsid w:val="007109C1"/>
    <w:rsid w:val="007152D8"/>
    <w:rsid w:val="0071545D"/>
    <w:rsid w:val="00717765"/>
    <w:rsid w:val="00723B26"/>
    <w:rsid w:val="00730981"/>
    <w:rsid w:val="00732A9D"/>
    <w:rsid w:val="007338AD"/>
    <w:rsid w:val="00736CFB"/>
    <w:rsid w:val="007405B2"/>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A4C2A"/>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0B4"/>
    <w:rsid w:val="00A519F6"/>
    <w:rsid w:val="00A537DE"/>
    <w:rsid w:val="00A56FD1"/>
    <w:rsid w:val="00A614E7"/>
    <w:rsid w:val="00A675C6"/>
    <w:rsid w:val="00A70EB4"/>
    <w:rsid w:val="00A718EC"/>
    <w:rsid w:val="00A77CC6"/>
    <w:rsid w:val="00A86F9A"/>
    <w:rsid w:val="00A94003"/>
    <w:rsid w:val="00AA2932"/>
    <w:rsid w:val="00AA7A1A"/>
    <w:rsid w:val="00AB7237"/>
    <w:rsid w:val="00AC1280"/>
    <w:rsid w:val="00AC1627"/>
    <w:rsid w:val="00AE515A"/>
    <w:rsid w:val="00AE5A87"/>
    <w:rsid w:val="00AF3D55"/>
    <w:rsid w:val="00AF3E0D"/>
    <w:rsid w:val="00B0063C"/>
    <w:rsid w:val="00B10855"/>
    <w:rsid w:val="00B10C9E"/>
    <w:rsid w:val="00B13E72"/>
    <w:rsid w:val="00B2671D"/>
    <w:rsid w:val="00B27EC9"/>
    <w:rsid w:val="00B426EE"/>
    <w:rsid w:val="00B44C14"/>
    <w:rsid w:val="00B57C78"/>
    <w:rsid w:val="00B6311E"/>
    <w:rsid w:val="00B638C0"/>
    <w:rsid w:val="00B659A5"/>
    <w:rsid w:val="00B66EF2"/>
    <w:rsid w:val="00B863BF"/>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27CA0"/>
    <w:rsid w:val="00C321A9"/>
    <w:rsid w:val="00C3433C"/>
    <w:rsid w:val="00C424F8"/>
    <w:rsid w:val="00C4327D"/>
    <w:rsid w:val="00C43F26"/>
    <w:rsid w:val="00C52457"/>
    <w:rsid w:val="00C56F51"/>
    <w:rsid w:val="00C6241E"/>
    <w:rsid w:val="00C70C5E"/>
    <w:rsid w:val="00C72A80"/>
    <w:rsid w:val="00C75F42"/>
    <w:rsid w:val="00C81CE6"/>
    <w:rsid w:val="00C84668"/>
    <w:rsid w:val="00C865B8"/>
    <w:rsid w:val="00C90ECC"/>
    <w:rsid w:val="00C93C9A"/>
    <w:rsid w:val="00C96C9F"/>
    <w:rsid w:val="00CA23C3"/>
    <w:rsid w:val="00CA6AB5"/>
    <w:rsid w:val="00CD410B"/>
    <w:rsid w:val="00CD47D3"/>
    <w:rsid w:val="00CE138B"/>
    <w:rsid w:val="00CE6D7E"/>
    <w:rsid w:val="00CF0D9F"/>
    <w:rsid w:val="00CF5D5F"/>
    <w:rsid w:val="00D04144"/>
    <w:rsid w:val="00D07F7E"/>
    <w:rsid w:val="00D10AB5"/>
    <w:rsid w:val="00D14A8D"/>
    <w:rsid w:val="00D24C98"/>
    <w:rsid w:val="00D36AB6"/>
    <w:rsid w:val="00D3746E"/>
    <w:rsid w:val="00D451BC"/>
    <w:rsid w:val="00D518F3"/>
    <w:rsid w:val="00D57F0D"/>
    <w:rsid w:val="00D72F6A"/>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6AC"/>
    <w:rsid w:val="00ED69C8"/>
    <w:rsid w:val="00ED6C06"/>
    <w:rsid w:val="00EE028F"/>
    <w:rsid w:val="00EE32C2"/>
    <w:rsid w:val="00EF403D"/>
    <w:rsid w:val="00EF4B8B"/>
    <w:rsid w:val="00F01AEC"/>
    <w:rsid w:val="00F210F8"/>
    <w:rsid w:val="00F2266F"/>
    <w:rsid w:val="00F27C5D"/>
    <w:rsid w:val="00F34688"/>
    <w:rsid w:val="00F37464"/>
    <w:rsid w:val="00F40B4D"/>
    <w:rsid w:val="00F6129F"/>
    <w:rsid w:val="00F62085"/>
    <w:rsid w:val="00F75319"/>
    <w:rsid w:val="00F824B1"/>
    <w:rsid w:val="00F86996"/>
    <w:rsid w:val="00F871A8"/>
    <w:rsid w:val="00F959DF"/>
    <w:rsid w:val="00FA4631"/>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54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A510B4"/>
    <w:pPr>
      <w:spacing w:after="20"/>
    </w:pPr>
    <w:rPr>
      <w:rFonts w:ascii="Verdana" w:eastAsia="SimSun" w:hAnsi="Verdana"/>
      <w:szCs w:val="24"/>
      <w:lang w:eastAsia="zh-C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semiHidden/>
    <w:rsid w:val="00175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A510B4"/>
    <w:pPr>
      <w:spacing w:after="20"/>
    </w:pPr>
    <w:rPr>
      <w:rFonts w:ascii="Verdana" w:eastAsia="SimSun" w:hAnsi="Verdana"/>
      <w:szCs w:val="24"/>
      <w:lang w:eastAsia="zh-C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semiHidden/>
    <w:rsid w:val="00175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892">
      <w:bodyDiv w:val="1"/>
      <w:marLeft w:val="0"/>
      <w:marRight w:val="0"/>
      <w:marTop w:val="0"/>
      <w:marBottom w:val="0"/>
      <w:divBdr>
        <w:top w:val="none" w:sz="0" w:space="0" w:color="auto"/>
        <w:left w:val="none" w:sz="0" w:space="0" w:color="auto"/>
        <w:bottom w:val="none" w:sz="0" w:space="0" w:color="auto"/>
        <w:right w:val="none" w:sz="0" w:space="0" w:color="auto"/>
      </w:divBdr>
    </w:div>
    <w:div w:id="64226203">
      <w:bodyDiv w:val="1"/>
      <w:marLeft w:val="0"/>
      <w:marRight w:val="0"/>
      <w:marTop w:val="0"/>
      <w:marBottom w:val="0"/>
      <w:divBdr>
        <w:top w:val="none" w:sz="0" w:space="0" w:color="auto"/>
        <w:left w:val="none" w:sz="0" w:space="0" w:color="auto"/>
        <w:bottom w:val="none" w:sz="0" w:space="0" w:color="auto"/>
        <w:right w:val="none" w:sz="0" w:space="0" w:color="auto"/>
      </w:divBdr>
    </w:div>
    <w:div w:id="134761794">
      <w:bodyDiv w:val="1"/>
      <w:marLeft w:val="0"/>
      <w:marRight w:val="0"/>
      <w:marTop w:val="0"/>
      <w:marBottom w:val="0"/>
      <w:divBdr>
        <w:top w:val="none" w:sz="0" w:space="0" w:color="auto"/>
        <w:left w:val="none" w:sz="0" w:space="0" w:color="auto"/>
        <w:bottom w:val="none" w:sz="0" w:space="0" w:color="auto"/>
        <w:right w:val="none" w:sz="0" w:space="0" w:color="auto"/>
      </w:divBdr>
    </w:div>
    <w:div w:id="532961929">
      <w:bodyDiv w:val="1"/>
      <w:marLeft w:val="0"/>
      <w:marRight w:val="0"/>
      <w:marTop w:val="0"/>
      <w:marBottom w:val="0"/>
      <w:divBdr>
        <w:top w:val="none" w:sz="0" w:space="0" w:color="auto"/>
        <w:left w:val="none" w:sz="0" w:space="0" w:color="auto"/>
        <w:bottom w:val="none" w:sz="0" w:space="0" w:color="auto"/>
        <w:right w:val="none" w:sz="0" w:space="0" w:color="auto"/>
      </w:divBdr>
    </w:div>
    <w:div w:id="605121343">
      <w:bodyDiv w:val="1"/>
      <w:marLeft w:val="0"/>
      <w:marRight w:val="0"/>
      <w:marTop w:val="0"/>
      <w:marBottom w:val="0"/>
      <w:divBdr>
        <w:top w:val="none" w:sz="0" w:space="0" w:color="auto"/>
        <w:left w:val="none" w:sz="0" w:space="0" w:color="auto"/>
        <w:bottom w:val="none" w:sz="0" w:space="0" w:color="auto"/>
        <w:right w:val="none" w:sz="0" w:space="0" w:color="auto"/>
      </w:divBdr>
    </w:div>
    <w:div w:id="648676394">
      <w:bodyDiv w:val="1"/>
      <w:marLeft w:val="0"/>
      <w:marRight w:val="0"/>
      <w:marTop w:val="0"/>
      <w:marBottom w:val="0"/>
      <w:divBdr>
        <w:top w:val="none" w:sz="0" w:space="0" w:color="auto"/>
        <w:left w:val="none" w:sz="0" w:space="0" w:color="auto"/>
        <w:bottom w:val="none" w:sz="0" w:space="0" w:color="auto"/>
        <w:right w:val="none" w:sz="0" w:space="0" w:color="auto"/>
      </w:divBdr>
    </w:div>
    <w:div w:id="731274508">
      <w:bodyDiv w:val="1"/>
      <w:marLeft w:val="0"/>
      <w:marRight w:val="0"/>
      <w:marTop w:val="0"/>
      <w:marBottom w:val="0"/>
      <w:divBdr>
        <w:top w:val="none" w:sz="0" w:space="0" w:color="auto"/>
        <w:left w:val="none" w:sz="0" w:space="0" w:color="auto"/>
        <w:bottom w:val="none" w:sz="0" w:space="0" w:color="auto"/>
        <w:right w:val="none" w:sz="0" w:space="0" w:color="auto"/>
      </w:divBdr>
    </w:div>
    <w:div w:id="1025450357">
      <w:bodyDiv w:val="1"/>
      <w:marLeft w:val="0"/>
      <w:marRight w:val="0"/>
      <w:marTop w:val="0"/>
      <w:marBottom w:val="0"/>
      <w:divBdr>
        <w:top w:val="none" w:sz="0" w:space="0" w:color="auto"/>
        <w:left w:val="none" w:sz="0" w:space="0" w:color="auto"/>
        <w:bottom w:val="none" w:sz="0" w:space="0" w:color="auto"/>
        <w:right w:val="none" w:sz="0" w:space="0" w:color="auto"/>
      </w:divBdr>
    </w:div>
    <w:div w:id="1038316787">
      <w:bodyDiv w:val="1"/>
      <w:marLeft w:val="0"/>
      <w:marRight w:val="0"/>
      <w:marTop w:val="0"/>
      <w:marBottom w:val="0"/>
      <w:divBdr>
        <w:top w:val="none" w:sz="0" w:space="0" w:color="auto"/>
        <w:left w:val="none" w:sz="0" w:space="0" w:color="auto"/>
        <w:bottom w:val="none" w:sz="0" w:space="0" w:color="auto"/>
        <w:right w:val="none" w:sz="0" w:space="0" w:color="auto"/>
      </w:divBdr>
    </w:div>
    <w:div w:id="1203787227">
      <w:bodyDiv w:val="1"/>
      <w:marLeft w:val="0"/>
      <w:marRight w:val="0"/>
      <w:marTop w:val="0"/>
      <w:marBottom w:val="0"/>
      <w:divBdr>
        <w:top w:val="none" w:sz="0" w:space="0" w:color="auto"/>
        <w:left w:val="none" w:sz="0" w:space="0" w:color="auto"/>
        <w:bottom w:val="none" w:sz="0" w:space="0" w:color="auto"/>
        <w:right w:val="none" w:sz="0" w:space="0" w:color="auto"/>
      </w:divBdr>
    </w:div>
    <w:div w:id="1273437949">
      <w:bodyDiv w:val="1"/>
      <w:marLeft w:val="0"/>
      <w:marRight w:val="0"/>
      <w:marTop w:val="0"/>
      <w:marBottom w:val="0"/>
      <w:divBdr>
        <w:top w:val="none" w:sz="0" w:space="0" w:color="auto"/>
        <w:left w:val="none" w:sz="0" w:space="0" w:color="auto"/>
        <w:bottom w:val="none" w:sz="0" w:space="0" w:color="auto"/>
        <w:right w:val="none" w:sz="0" w:space="0" w:color="auto"/>
      </w:divBdr>
    </w:div>
    <w:div w:id="1538543746">
      <w:bodyDiv w:val="1"/>
      <w:marLeft w:val="0"/>
      <w:marRight w:val="0"/>
      <w:marTop w:val="0"/>
      <w:marBottom w:val="0"/>
      <w:divBdr>
        <w:top w:val="none" w:sz="0" w:space="0" w:color="auto"/>
        <w:left w:val="none" w:sz="0" w:space="0" w:color="auto"/>
        <w:bottom w:val="none" w:sz="0" w:space="0" w:color="auto"/>
        <w:right w:val="none" w:sz="0" w:space="0" w:color="auto"/>
      </w:divBdr>
    </w:div>
    <w:div w:id="1892036988">
      <w:bodyDiv w:val="1"/>
      <w:marLeft w:val="0"/>
      <w:marRight w:val="0"/>
      <w:marTop w:val="0"/>
      <w:marBottom w:val="0"/>
      <w:divBdr>
        <w:top w:val="none" w:sz="0" w:space="0" w:color="auto"/>
        <w:left w:val="none" w:sz="0" w:space="0" w:color="auto"/>
        <w:bottom w:val="none" w:sz="0" w:space="0" w:color="auto"/>
        <w:right w:val="none" w:sz="0" w:space="0" w:color="auto"/>
      </w:divBdr>
    </w:div>
    <w:div w:id="19236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xl.nl/wiki/hora/index.php/Ontwikkeli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kixl.nl/wiki/hora/index.php/Over_HOR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92582-B2A3-4AD6-8781-55379C51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1672</Words>
  <Characters>9200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Hamers</dc:creator>
  <cp:lastModifiedBy>Jeroen Hamers</cp:lastModifiedBy>
  <cp:revision>13</cp:revision>
  <cp:lastPrinted>2012-06-25T09:46:00Z</cp:lastPrinted>
  <dcterms:created xsi:type="dcterms:W3CDTF">2014-09-23T09:54:00Z</dcterms:created>
  <dcterms:modified xsi:type="dcterms:W3CDTF">2014-09-23T15:29:00Z</dcterms:modified>
</cp:coreProperties>
</file>