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26632" w14:textId="77777777" w:rsidR="00986A78" w:rsidRDefault="00220AD6" w:rsidP="00220AD6">
      <w:pPr>
        <w:pStyle w:val="Titel"/>
      </w:pPr>
      <w:r>
        <w:t>WO en HBO kennisinfrastructuur</w:t>
      </w:r>
      <w:r>
        <w:br/>
        <w:t>Kernafspraken overzicht</w:t>
      </w:r>
    </w:p>
    <w:p w14:paraId="34AA72A4" w14:textId="4E21C5AC" w:rsidR="006877D8" w:rsidRDefault="00220AD6" w:rsidP="00220AD6">
      <w:r>
        <w:t>Afspraken over het gebruik van standaarden zijn nodig om de WO- en HBO-kennisketen te laten functioneren. Zonder eenduidige afspraken ontstaan er afwijkingen door interpretatieverschillen bij de uitwisseling van gegevens tussen systemen in de WO- en HBO-kennisketen.</w:t>
      </w:r>
    </w:p>
    <w:p w14:paraId="743BBBE8" w14:textId="755E962E" w:rsidR="00985D8F" w:rsidRPr="00985D8F" w:rsidRDefault="00985D8F" w:rsidP="000432EF">
      <w:pPr>
        <w:pStyle w:val="Kop1"/>
      </w:pPr>
      <w:r w:rsidRPr="00985D8F">
        <w:t>WO en HBO kennisinfrastructuur</w:t>
      </w:r>
    </w:p>
    <w:p w14:paraId="1261FECC" w14:textId="68F3C19D" w:rsidR="001B4437" w:rsidRDefault="001B4437" w:rsidP="00220AD6">
      <w:r>
        <w:t xml:space="preserve">De kennisketen zorgt ervoor dat de Nederlandse productie van wetenschappelijke publicaties en vakliteratuur bij de WO en HBO instellingen 1. verzameld wordt, 2. duurzaam toegankelijk wordt, en 3. verder </w:t>
      </w:r>
      <w:r w:rsidR="008B7AD9">
        <w:t>verspreid</w:t>
      </w:r>
      <w:r>
        <w:t xml:space="preserve"> kan worden. Doordat de Nederlandse kennis corpus beter gevonden wordt en toegankelijk blijft levert het meer wetenschappelijke en maatschappelijke impact op.</w:t>
      </w:r>
    </w:p>
    <w:p w14:paraId="4BD0A1F1" w14:textId="28CB77DF" w:rsidR="00985D8F" w:rsidRDefault="00985D8F" w:rsidP="00220AD6">
      <w:r>
        <w:rPr>
          <w:noProof/>
          <w:lang w:eastAsia="nl-NL"/>
        </w:rPr>
        <w:drawing>
          <wp:inline distT="0" distB="0" distL="0" distR="0" wp14:anchorId="77A42227" wp14:editId="6EBF36F0">
            <wp:extent cx="5661512" cy="438995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892" cy="43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AB904C" w14:textId="77777777" w:rsidR="00985D8F" w:rsidRDefault="00985D8F" w:rsidP="00220AD6"/>
    <w:p w14:paraId="48B4690F" w14:textId="2A9014B1" w:rsidR="00985D8F" w:rsidRPr="00985D8F" w:rsidRDefault="00985D8F" w:rsidP="00985D8F">
      <w:pPr>
        <w:pStyle w:val="Kop1"/>
      </w:pPr>
      <w:r w:rsidRPr="00985D8F">
        <w:lastRenderedPageBreak/>
        <w:t>WO en HBO kernafspraken</w:t>
      </w:r>
    </w:p>
    <w:p w14:paraId="54788A89" w14:textId="0E65F3A7" w:rsidR="00220AD6" w:rsidRDefault="00220AD6" w:rsidP="00220AD6">
      <w:r>
        <w:t xml:space="preserve">Deze set van afspraken </w:t>
      </w:r>
      <w:bookmarkStart w:id="0" w:name="_GoBack"/>
      <w:bookmarkEnd w:id="0"/>
      <w:r>
        <w:t>noemen we de Kernafspraken.</w:t>
      </w:r>
      <w:r w:rsidR="001B4437">
        <w:t xml:space="preserve"> Deze afspraken hebben een </w:t>
      </w:r>
      <w:r w:rsidR="00985D8F">
        <w:t>naam en elk een eigen functie. De afspraken bieden elke een afgebakende oplossing. Het samenspel tussen deze afspraken samen zorgen voor een werkende kennisinfrastructuur.</w:t>
      </w:r>
    </w:p>
    <w:tbl>
      <w:tblPr>
        <w:tblStyle w:val="Gemiddeldelijst2"/>
        <w:tblW w:w="9047" w:type="dxa"/>
        <w:tblInd w:w="30" w:type="dxa"/>
        <w:tblLook w:val="0420" w:firstRow="1" w:lastRow="0" w:firstColumn="0" w:lastColumn="0" w:noHBand="0" w:noVBand="1"/>
      </w:tblPr>
      <w:tblGrid>
        <w:gridCol w:w="1420"/>
        <w:gridCol w:w="1812"/>
        <w:gridCol w:w="5815"/>
      </w:tblGrid>
      <w:tr w:rsidR="00220AD6" w:rsidRPr="006877D8" w14:paraId="07DBD6FF" w14:textId="77777777" w:rsidTr="00094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0" w:type="dxa"/>
          </w:tcPr>
          <w:p w14:paraId="2F678CFA" w14:textId="77777777" w:rsidR="00220AD6" w:rsidRPr="006877D8" w:rsidRDefault="00220AD6" w:rsidP="0062552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77D8">
              <w:rPr>
                <w:rFonts w:asciiTheme="minorHAnsi" w:hAnsiTheme="minorHAnsi"/>
                <w:b/>
                <w:sz w:val="20"/>
                <w:szCs w:val="20"/>
              </w:rPr>
              <w:t xml:space="preserve">Afspraak </w:t>
            </w:r>
          </w:p>
        </w:tc>
        <w:tc>
          <w:tcPr>
            <w:tcW w:w="1812" w:type="dxa"/>
          </w:tcPr>
          <w:p w14:paraId="3298192E" w14:textId="77777777" w:rsidR="00220AD6" w:rsidRPr="006877D8" w:rsidRDefault="00220AD6" w:rsidP="0062552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77D8">
              <w:rPr>
                <w:rFonts w:asciiTheme="minorHAnsi" w:hAnsiTheme="minorHAnsi"/>
                <w:b/>
                <w:sz w:val="20"/>
                <w:szCs w:val="20"/>
              </w:rPr>
              <w:t>Functie</w:t>
            </w:r>
          </w:p>
        </w:tc>
        <w:tc>
          <w:tcPr>
            <w:tcW w:w="5815" w:type="dxa"/>
          </w:tcPr>
          <w:p w14:paraId="100AC2B2" w14:textId="77777777" w:rsidR="00220AD6" w:rsidRPr="006877D8" w:rsidRDefault="00220AD6" w:rsidP="0062552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77D8">
              <w:rPr>
                <w:rFonts w:asciiTheme="minorHAnsi" w:hAnsiTheme="minorHAnsi"/>
                <w:b/>
                <w:sz w:val="20"/>
                <w:szCs w:val="20"/>
              </w:rPr>
              <w:t>Beschrijving</w:t>
            </w:r>
          </w:p>
        </w:tc>
      </w:tr>
      <w:tr w:rsidR="00220AD6" w:rsidRPr="005B675C" w14:paraId="1FB28C98" w14:textId="77777777" w:rsidTr="0009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0" w:type="dxa"/>
          </w:tcPr>
          <w:p w14:paraId="17D3AE2F" w14:textId="77777777" w:rsidR="00220AD6" w:rsidRPr="006877D8" w:rsidRDefault="00220AD6" w:rsidP="00625525">
            <w:pPr>
              <w:rPr>
                <w:rFonts w:asciiTheme="minorHAnsi" w:hAnsiTheme="minorHAnsi"/>
                <w:sz w:val="20"/>
                <w:szCs w:val="20"/>
              </w:rPr>
            </w:pPr>
            <w:r w:rsidRPr="006877D8">
              <w:rPr>
                <w:rFonts w:asciiTheme="minorHAnsi" w:hAnsiTheme="minorHAnsi"/>
                <w:sz w:val="20"/>
                <w:szCs w:val="20"/>
              </w:rPr>
              <w:t>OAI-PMH:NL</w:t>
            </w:r>
          </w:p>
        </w:tc>
        <w:tc>
          <w:tcPr>
            <w:tcW w:w="1812" w:type="dxa"/>
          </w:tcPr>
          <w:p w14:paraId="5159A156" w14:textId="77777777" w:rsidR="00C21772" w:rsidRDefault="00C21772" w:rsidP="00C21772">
            <w:pPr>
              <w:rPr>
                <w:rFonts w:asciiTheme="minorHAnsi" w:hAnsiTheme="minorHAnsi"/>
                <w:sz w:val="20"/>
                <w:szCs w:val="20"/>
              </w:rPr>
            </w:pPr>
            <w:r w:rsidRPr="006877D8">
              <w:rPr>
                <w:rFonts w:asciiTheme="minorHAnsi" w:hAnsiTheme="minorHAnsi"/>
                <w:sz w:val="20"/>
                <w:szCs w:val="20"/>
              </w:rPr>
              <w:t>U</w:t>
            </w:r>
            <w:r w:rsidR="00220AD6" w:rsidRPr="006877D8">
              <w:rPr>
                <w:rFonts w:asciiTheme="minorHAnsi" w:hAnsiTheme="minorHAnsi"/>
                <w:sz w:val="20"/>
                <w:szCs w:val="20"/>
              </w:rPr>
              <w:t>itwisselmethode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Metadata transport</w:t>
            </w:r>
          </w:p>
          <w:p w14:paraId="2ECE07BC" w14:textId="4FE2F83A" w:rsidR="00220AD6" w:rsidRPr="006877D8" w:rsidRDefault="00220AD6" w:rsidP="006255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15" w:type="dxa"/>
          </w:tcPr>
          <w:p w14:paraId="651A86B7" w14:textId="397C633F" w:rsidR="00220AD6" w:rsidRPr="006877D8" w:rsidRDefault="00220AD6" w:rsidP="00625525">
            <w:pPr>
              <w:rPr>
                <w:rFonts w:asciiTheme="minorHAnsi" w:hAnsiTheme="minorHAnsi"/>
                <w:sz w:val="20"/>
                <w:szCs w:val="20"/>
              </w:rPr>
            </w:pPr>
            <w:r w:rsidRPr="006877D8">
              <w:rPr>
                <w:rFonts w:asciiTheme="minorHAnsi" w:hAnsiTheme="minorHAnsi"/>
                <w:sz w:val="20"/>
                <w:szCs w:val="20"/>
              </w:rPr>
              <w:t>Afspraken rondom het uitwisselen van metadata in het WO- en HBO-veld.</w:t>
            </w:r>
          </w:p>
          <w:p w14:paraId="4066FE7E" w14:textId="182BDC63" w:rsidR="009D4244" w:rsidRPr="006877D8" w:rsidRDefault="009D4244" w:rsidP="00625525">
            <w:pPr>
              <w:rPr>
                <w:rFonts w:asciiTheme="minorHAnsi" w:hAnsiTheme="minorHAnsi"/>
                <w:sz w:val="20"/>
                <w:szCs w:val="20"/>
              </w:rPr>
            </w:pPr>
            <w:r w:rsidRPr="006877D8">
              <w:rPr>
                <w:rFonts w:asciiTheme="minorHAnsi" w:hAnsiTheme="minorHAnsi"/>
                <w:sz w:val="20"/>
                <w:szCs w:val="20"/>
              </w:rPr>
              <w:t xml:space="preserve">Afspraken over gebruik van de standaard OAI-PMH: </w:t>
            </w:r>
          </w:p>
          <w:p w14:paraId="58420717" w14:textId="77777777" w:rsidR="009D4244" w:rsidRPr="006877D8" w:rsidRDefault="009D4244" w:rsidP="00625525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877D8">
              <w:rPr>
                <w:rFonts w:asciiTheme="minorHAnsi" w:hAnsiTheme="minorHAnsi"/>
                <w:sz w:val="20"/>
                <w:szCs w:val="20"/>
                <w:lang w:val="en-GB"/>
              </w:rPr>
              <w:t>Open Archives Initiative – Protocol for Metadata Harvesting</w:t>
            </w:r>
          </w:p>
          <w:p w14:paraId="310B75CA" w14:textId="4D7A12F9" w:rsidR="009D4244" w:rsidRPr="006877D8" w:rsidRDefault="000902A2" w:rsidP="009D424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hyperlink r:id="rId10" w:history="1">
              <w:r w:rsidR="009D4244" w:rsidRPr="006877D8">
                <w:rPr>
                  <w:rStyle w:val="Hyperlink"/>
                  <w:rFonts w:asciiTheme="minorHAnsi" w:hAnsiTheme="minorHAnsi"/>
                  <w:sz w:val="20"/>
                  <w:szCs w:val="20"/>
                  <w:lang w:val="en-GB"/>
                </w:rPr>
                <w:t>http://www.openarchives.org/OAI/openarchivesprotocol.html</w:t>
              </w:r>
            </w:hyperlink>
            <w:r w:rsidR="009D4244" w:rsidRPr="006877D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 </w:t>
            </w:r>
          </w:p>
        </w:tc>
      </w:tr>
      <w:tr w:rsidR="00220AD6" w:rsidRPr="005B675C" w14:paraId="12A3A18F" w14:textId="77777777" w:rsidTr="00094426">
        <w:tc>
          <w:tcPr>
            <w:tcW w:w="1420" w:type="dxa"/>
          </w:tcPr>
          <w:p w14:paraId="1FC85E44" w14:textId="25A559CC" w:rsidR="00220AD6" w:rsidRPr="006877D8" w:rsidRDefault="00220AD6" w:rsidP="00625525">
            <w:pPr>
              <w:rPr>
                <w:rFonts w:asciiTheme="minorHAnsi" w:hAnsiTheme="minorHAnsi"/>
                <w:sz w:val="20"/>
                <w:szCs w:val="20"/>
              </w:rPr>
            </w:pPr>
            <w:r w:rsidRPr="006877D8">
              <w:rPr>
                <w:rFonts w:asciiTheme="minorHAnsi" w:hAnsiTheme="minorHAnsi"/>
                <w:sz w:val="20"/>
                <w:szCs w:val="20"/>
              </w:rPr>
              <w:t>DIDL:NL</w:t>
            </w:r>
          </w:p>
        </w:tc>
        <w:tc>
          <w:tcPr>
            <w:tcW w:w="1812" w:type="dxa"/>
          </w:tcPr>
          <w:p w14:paraId="64D50F46" w14:textId="059F3E15" w:rsidR="00220AD6" w:rsidRPr="006877D8" w:rsidRDefault="00220AD6" w:rsidP="00625525">
            <w:pPr>
              <w:rPr>
                <w:rFonts w:asciiTheme="minorHAnsi" w:hAnsiTheme="minorHAnsi"/>
                <w:sz w:val="20"/>
                <w:szCs w:val="20"/>
              </w:rPr>
            </w:pPr>
            <w:r w:rsidRPr="006877D8">
              <w:rPr>
                <w:rFonts w:asciiTheme="minorHAnsi" w:hAnsiTheme="minorHAnsi"/>
                <w:sz w:val="20"/>
                <w:szCs w:val="20"/>
              </w:rPr>
              <w:t>structuur formaat</w:t>
            </w:r>
            <w:r w:rsidR="00C21772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C21772">
              <w:rPr>
                <w:rFonts w:asciiTheme="minorHAnsi" w:hAnsiTheme="minorHAnsi"/>
                <w:sz w:val="20"/>
                <w:szCs w:val="20"/>
              </w:rPr>
              <w:t>S</w:t>
            </w:r>
            <w:r w:rsidR="00C21772">
              <w:rPr>
                <w:rFonts w:asciiTheme="minorHAnsi" w:hAnsiTheme="minorHAnsi"/>
                <w:sz w:val="20"/>
                <w:szCs w:val="20"/>
              </w:rPr>
              <w:t>amengesteld object</w:t>
            </w:r>
          </w:p>
        </w:tc>
        <w:tc>
          <w:tcPr>
            <w:tcW w:w="5815" w:type="dxa"/>
          </w:tcPr>
          <w:p w14:paraId="7643C540" w14:textId="73F8458B" w:rsidR="00397969" w:rsidRPr="006877D8" w:rsidRDefault="00397969" w:rsidP="00625525">
            <w:pPr>
              <w:rPr>
                <w:rFonts w:asciiTheme="minorHAnsi" w:hAnsiTheme="minorHAnsi"/>
                <w:sz w:val="20"/>
                <w:szCs w:val="20"/>
              </w:rPr>
            </w:pPr>
            <w:r w:rsidRPr="006877D8">
              <w:rPr>
                <w:rFonts w:asciiTheme="minorHAnsi" w:hAnsiTheme="minorHAnsi"/>
                <w:sz w:val="20"/>
                <w:szCs w:val="20"/>
              </w:rPr>
              <w:t>Beschrijft de objecten in een publicatiesamenstelling.</w:t>
            </w:r>
          </w:p>
          <w:p w14:paraId="6A0AEDE4" w14:textId="77777777" w:rsidR="00220AD6" w:rsidRPr="006877D8" w:rsidRDefault="00220AD6" w:rsidP="00625525">
            <w:pPr>
              <w:rPr>
                <w:rFonts w:asciiTheme="minorHAnsi" w:hAnsiTheme="minorHAnsi"/>
                <w:sz w:val="20"/>
                <w:szCs w:val="20"/>
              </w:rPr>
            </w:pPr>
            <w:r w:rsidRPr="006877D8">
              <w:rPr>
                <w:rFonts w:asciiTheme="minorHAnsi" w:hAnsiTheme="minorHAnsi"/>
                <w:sz w:val="20"/>
                <w:szCs w:val="20"/>
              </w:rPr>
              <w:t>Afspraken rondom de objectencontainer</w:t>
            </w:r>
          </w:p>
          <w:p w14:paraId="65B281E0" w14:textId="459ED972" w:rsidR="009D4244" w:rsidRPr="006877D8" w:rsidRDefault="009D4244" w:rsidP="00625525">
            <w:pPr>
              <w:rPr>
                <w:rFonts w:asciiTheme="minorHAnsi" w:hAnsiTheme="minorHAnsi"/>
                <w:sz w:val="20"/>
                <w:szCs w:val="20"/>
              </w:rPr>
            </w:pPr>
            <w:r w:rsidRPr="006877D8">
              <w:rPr>
                <w:rFonts w:asciiTheme="minorHAnsi" w:hAnsiTheme="minorHAnsi"/>
                <w:sz w:val="20"/>
                <w:szCs w:val="20"/>
              </w:rPr>
              <w:t>Afspraken over het gebruik van MPEG21-DIDL:</w:t>
            </w:r>
          </w:p>
          <w:p w14:paraId="6D7084D9" w14:textId="77777777" w:rsidR="009D4244" w:rsidRPr="006877D8" w:rsidRDefault="009D4244" w:rsidP="00625525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877D8">
              <w:rPr>
                <w:rFonts w:asciiTheme="minorHAnsi" w:hAnsiTheme="minorHAnsi"/>
                <w:sz w:val="20"/>
                <w:szCs w:val="20"/>
                <w:lang w:val="en-GB"/>
              </w:rPr>
              <w:t>Moving Pictures Expert Group 21 – Digital Item Declaration Language</w:t>
            </w:r>
          </w:p>
          <w:p w14:paraId="5CB7CF96" w14:textId="083B8F44" w:rsidR="009D4244" w:rsidRPr="006877D8" w:rsidRDefault="000902A2" w:rsidP="00625525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hyperlink r:id="rId11" w:history="1">
              <w:r w:rsidR="009D4244" w:rsidRPr="006877D8">
                <w:rPr>
                  <w:rStyle w:val="Hyperlink"/>
                  <w:rFonts w:asciiTheme="minorHAnsi" w:hAnsiTheme="minorHAnsi"/>
                  <w:sz w:val="20"/>
                  <w:szCs w:val="20"/>
                  <w:lang w:val="en-GB"/>
                </w:rPr>
                <w:t>http://mpeg.chiariglione.org/standards/mpeg-21</w:t>
              </w:r>
            </w:hyperlink>
            <w:r w:rsidR="009D4244" w:rsidRPr="006877D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220AD6" w:rsidRPr="006877D8" w14:paraId="404F713E" w14:textId="77777777" w:rsidTr="0009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0" w:type="dxa"/>
          </w:tcPr>
          <w:p w14:paraId="2A79AC4A" w14:textId="2B405018" w:rsidR="00220AD6" w:rsidRPr="006877D8" w:rsidRDefault="00220AD6" w:rsidP="00625525">
            <w:pPr>
              <w:rPr>
                <w:rFonts w:asciiTheme="minorHAnsi" w:hAnsiTheme="minorHAnsi"/>
                <w:sz w:val="20"/>
                <w:szCs w:val="20"/>
              </w:rPr>
            </w:pPr>
            <w:r w:rsidRPr="006877D8">
              <w:rPr>
                <w:rFonts w:asciiTheme="minorHAnsi" w:hAnsiTheme="minorHAnsi"/>
                <w:sz w:val="20"/>
                <w:szCs w:val="20"/>
              </w:rPr>
              <w:t>MODS:NL</w:t>
            </w:r>
          </w:p>
        </w:tc>
        <w:tc>
          <w:tcPr>
            <w:tcW w:w="1812" w:type="dxa"/>
          </w:tcPr>
          <w:p w14:paraId="18D35559" w14:textId="304EE021" w:rsidR="00220AD6" w:rsidRPr="006877D8" w:rsidRDefault="00220AD6" w:rsidP="00625525">
            <w:pPr>
              <w:rPr>
                <w:rFonts w:asciiTheme="minorHAnsi" w:hAnsiTheme="minorHAnsi"/>
                <w:sz w:val="20"/>
                <w:szCs w:val="20"/>
              </w:rPr>
            </w:pPr>
            <w:r w:rsidRPr="006877D8">
              <w:rPr>
                <w:rFonts w:asciiTheme="minorHAnsi" w:hAnsiTheme="minorHAnsi"/>
                <w:sz w:val="20"/>
                <w:szCs w:val="20"/>
              </w:rPr>
              <w:t>metadata formaat</w:t>
            </w:r>
            <w:r w:rsidR="00C21772">
              <w:rPr>
                <w:rFonts w:asciiTheme="minorHAnsi" w:hAnsiTheme="minorHAnsi"/>
                <w:sz w:val="20"/>
                <w:szCs w:val="20"/>
              </w:rPr>
              <w:t>, beschrijving</w:t>
            </w:r>
          </w:p>
        </w:tc>
        <w:tc>
          <w:tcPr>
            <w:tcW w:w="5815" w:type="dxa"/>
          </w:tcPr>
          <w:p w14:paraId="07EF0D2A" w14:textId="052F61B7" w:rsidR="00220AD6" w:rsidRPr="006877D8" w:rsidRDefault="00220AD6" w:rsidP="00625525">
            <w:pPr>
              <w:rPr>
                <w:rFonts w:asciiTheme="minorHAnsi" w:hAnsiTheme="minorHAnsi"/>
                <w:sz w:val="20"/>
                <w:szCs w:val="20"/>
              </w:rPr>
            </w:pPr>
            <w:r w:rsidRPr="006877D8">
              <w:rPr>
                <w:rFonts w:asciiTheme="minorHAnsi" w:hAnsiTheme="minorHAnsi"/>
                <w:sz w:val="20"/>
                <w:szCs w:val="20"/>
              </w:rPr>
              <w:t>Afspraken rondom de beschrijvingen van objecten</w:t>
            </w:r>
          </w:p>
          <w:p w14:paraId="78D8C9CA" w14:textId="7D21FE83" w:rsidR="009D4244" w:rsidRPr="006877D8" w:rsidRDefault="009D4244" w:rsidP="00625525">
            <w:pPr>
              <w:rPr>
                <w:rFonts w:asciiTheme="minorHAnsi" w:hAnsiTheme="minorHAnsi"/>
                <w:sz w:val="20"/>
                <w:szCs w:val="20"/>
              </w:rPr>
            </w:pPr>
            <w:r w:rsidRPr="006877D8">
              <w:rPr>
                <w:rFonts w:asciiTheme="minorHAnsi" w:hAnsiTheme="minorHAnsi"/>
                <w:sz w:val="20"/>
                <w:szCs w:val="20"/>
              </w:rPr>
              <w:t xml:space="preserve">Afspraken over het gebruik van MODS: Metadata Object </w:t>
            </w:r>
            <w:proofErr w:type="spellStart"/>
            <w:r w:rsidRPr="006877D8">
              <w:rPr>
                <w:rFonts w:asciiTheme="minorHAnsi" w:hAnsiTheme="minorHAnsi"/>
                <w:sz w:val="20"/>
                <w:szCs w:val="20"/>
              </w:rPr>
              <w:t>Description</w:t>
            </w:r>
            <w:proofErr w:type="spellEnd"/>
            <w:r w:rsidRPr="006877D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877D8">
              <w:rPr>
                <w:rFonts w:asciiTheme="minorHAnsi" w:hAnsiTheme="minorHAnsi"/>
                <w:sz w:val="20"/>
                <w:szCs w:val="20"/>
              </w:rPr>
              <w:t>Scheme</w:t>
            </w:r>
            <w:proofErr w:type="spellEnd"/>
          </w:p>
          <w:p w14:paraId="7E7DEF3A" w14:textId="24F6D164" w:rsidR="009D4244" w:rsidRPr="006877D8" w:rsidRDefault="000902A2" w:rsidP="00625525">
            <w:pPr>
              <w:rPr>
                <w:rFonts w:asciiTheme="minorHAnsi" w:hAnsiTheme="minorHAnsi"/>
                <w:sz w:val="20"/>
                <w:szCs w:val="20"/>
              </w:rPr>
            </w:pPr>
            <w:hyperlink r:id="rId12" w:history="1">
              <w:r w:rsidR="009D4244" w:rsidRPr="006877D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http://www.loc.gov/standards/mods/</w:t>
              </w:r>
            </w:hyperlink>
            <w:r w:rsidR="009D4244" w:rsidRPr="006877D8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220AD6" w:rsidRPr="006877D8" w14:paraId="4AEE1653" w14:textId="77777777" w:rsidTr="00094426">
        <w:tc>
          <w:tcPr>
            <w:tcW w:w="1420" w:type="dxa"/>
          </w:tcPr>
          <w:p w14:paraId="42B82406" w14:textId="382854D0" w:rsidR="00220AD6" w:rsidRPr="006877D8" w:rsidRDefault="00220AD6" w:rsidP="00625525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877D8">
              <w:rPr>
                <w:rFonts w:asciiTheme="minorHAnsi" w:hAnsiTheme="minorHAnsi"/>
                <w:sz w:val="20"/>
                <w:szCs w:val="20"/>
                <w:lang w:val="en-GB"/>
              </w:rPr>
              <w:t>URN:NBN:NL</w:t>
            </w:r>
          </w:p>
        </w:tc>
        <w:tc>
          <w:tcPr>
            <w:tcW w:w="1812" w:type="dxa"/>
          </w:tcPr>
          <w:p w14:paraId="2D4AE57A" w14:textId="77777777" w:rsidR="00220AD6" w:rsidRPr="006877D8" w:rsidRDefault="00220AD6" w:rsidP="00625525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877D8">
              <w:rPr>
                <w:rFonts w:asciiTheme="minorHAnsi" w:hAnsiTheme="minorHAnsi"/>
                <w:sz w:val="20"/>
                <w:szCs w:val="20"/>
                <w:lang w:val="en-GB"/>
              </w:rPr>
              <w:t>persistent object identifier</w:t>
            </w:r>
          </w:p>
        </w:tc>
        <w:tc>
          <w:tcPr>
            <w:tcW w:w="5815" w:type="dxa"/>
          </w:tcPr>
          <w:p w14:paraId="1C2DD583" w14:textId="77777777" w:rsidR="00220AD6" w:rsidRPr="006877D8" w:rsidRDefault="00220AD6" w:rsidP="00625525">
            <w:pPr>
              <w:rPr>
                <w:rFonts w:asciiTheme="minorHAnsi" w:hAnsiTheme="minorHAnsi"/>
                <w:sz w:val="20"/>
                <w:szCs w:val="20"/>
              </w:rPr>
            </w:pPr>
            <w:r w:rsidRPr="006877D8">
              <w:rPr>
                <w:rFonts w:asciiTheme="minorHAnsi" w:hAnsiTheme="minorHAnsi"/>
                <w:sz w:val="20"/>
                <w:szCs w:val="20"/>
              </w:rPr>
              <w:t xml:space="preserve">Afspraken rondom het toepassen van persistente object </w:t>
            </w:r>
            <w:proofErr w:type="spellStart"/>
            <w:r w:rsidRPr="006877D8">
              <w:rPr>
                <w:rFonts w:asciiTheme="minorHAnsi" w:hAnsiTheme="minorHAnsi"/>
                <w:sz w:val="20"/>
                <w:szCs w:val="20"/>
              </w:rPr>
              <w:t>identifiers</w:t>
            </w:r>
            <w:proofErr w:type="spellEnd"/>
          </w:p>
          <w:p w14:paraId="4CFF8C48" w14:textId="585190C6" w:rsidR="009D4244" w:rsidRPr="006877D8" w:rsidRDefault="000432EF" w:rsidP="00625525">
            <w:pPr>
              <w:rPr>
                <w:rFonts w:asciiTheme="minorHAnsi" w:hAnsiTheme="minorHAnsi"/>
                <w:sz w:val="20"/>
                <w:szCs w:val="20"/>
              </w:rPr>
            </w:pPr>
            <w:r w:rsidRPr="006877D8">
              <w:rPr>
                <w:rFonts w:asciiTheme="minorHAnsi" w:hAnsiTheme="minorHAnsi"/>
                <w:sz w:val="20"/>
                <w:szCs w:val="20"/>
              </w:rPr>
              <w:t xml:space="preserve">Afspraken over het gebruik van URN:NBN : Uniform Resource Name : National </w:t>
            </w:r>
            <w:proofErr w:type="spellStart"/>
            <w:r w:rsidRPr="006877D8">
              <w:rPr>
                <w:rFonts w:asciiTheme="minorHAnsi" w:hAnsiTheme="minorHAnsi"/>
                <w:sz w:val="20"/>
                <w:szCs w:val="20"/>
              </w:rPr>
              <w:t>Bibliographic</w:t>
            </w:r>
            <w:proofErr w:type="spellEnd"/>
            <w:r w:rsidRPr="006877D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877D8">
              <w:rPr>
                <w:rFonts w:asciiTheme="minorHAnsi" w:hAnsiTheme="minorHAnsi"/>
                <w:sz w:val="20"/>
                <w:szCs w:val="20"/>
              </w:rPr>
              <w:t>Number</w:t>
            </w:r>
            <w:proofErr w:type="spellEnd"/>
            <w:r w:rsidRPr="006877D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D52575B" w14:textId="1D592AEA" w:rsidR="000432EF" w:rsidRPr="006877D8" w:rsidRDefault="000902A2" w:rsidP="00625525">
            <w:pPr>
              <w:rPr>
                <w:rFonts w:asciiTheme="minorHAnsi" w:hAnsiTheme="minorHAnsi"/>
                <w:sz w:val="20"/>
                <w:szCs w:val="20"/>
              </w:rPr>
            </w:pPr>
            <w:hyperlink r:id="rId13" w:history="1">
              <w:r w:rsidR="000432EF" w:rsidRPr="006877D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http://tools.ietf.org/html/rfc3188</w:t>
              </w:r>
            </w:hyperlink>
          </w:p>
        </w:tc>
      </w:tr>
      <w:tr w:rsidR="00220AD6" w:rsidRPr="006877D8" w14:paraId="0CE1B0BA" w14:textId="77777777" w:rsidTr="0009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0" w:type="dxa"/>
          </w:tcPr>
          <w:p w14:paraId="2ADB46F2" w14:textId="77777777" w:rsidR="00220AD6" w:rsidRPr="006877D8" w:rsidRDefault="00220AD6" w:rsidP="0062552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877D8">
              <w:rPr>
                <w:rFonts w:asciiTheme="minorHAnsi" w:hAnsiTheme="minorHAnsi"/>
                <w:sz w:val="20"/>
                <w:szCs w:val="20"/>
              </w:rPr>
              <w:t>Semantics:NL</w:t>
            </w:r>
            <w:proofErr w:type="spellEnd"/>
          </w:p>
        </w:tc>
        <w:tc>
          <w:tcPr>
            <w:tcW w:w="1812" w:type="dxa"/>
          </w:tcPr>
          <w:p w14:paraId="393D6EC2" w14:textId="77777777" w:rsidR="00220AD6" w:rsidRPr="006877D8" w:rsidRDefault="00220AD6" w:rsidP="0062552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877D8">
              <w:rPr>
                <w:rFonts w:asciiTheme="minorHAnsi" w:hAnsiTheme="minorHAnsi"/>
                <w:sz w:val="20"/>
                <w:szCs w:val="20"/>
              </w:rPr>
              <w:t>namespaces</w:t>
            </w:r>
            <w:proofErr w:type="spellEnd"/>
            <w:r w:rsidRPr="006877D8">
              <w:rPr>
                <w:rFonts w:asciiTheme="minorHAnsi" w:hAnsiTheme="minorHAnsi"/>
                <w:sz w:val="20"/>
                <w:szCs w:val="20"/>
              </w:rPr>
              <w:t xml:space="preserve">, vocabulaires, </w:t>
            </w:r>
            <w:proofErr w:type="spellStart"/>
            <w:r w:rsidRPr="006877D8">
              <w:rPr>
                <w:rFonts w:asciiTheme="minorHAnsi" w:hAnsiTheme="minorHAnsi"/>
                <w:sz w:val="20"/>
                <w:szCs w:val="20"/>
              </w:rPr>
              <w:t>ontologieën</w:t>
            </w:r>
            <w:proofErr w:type="spellEnd"/>
          </w:p>
        </w:tc>
        <w:tc>
          <w:tcPr>
            <w:tcW w:w="5815" w:type="dxa"/>
          </w:tcPr>
          <w:p w14:paraId="04CECED7" w14:textId="77777777" w:rsidR="00220AD6" w:rsidRPr="006877D8" w:rsidRDefault="00220AD6" w:rsidP="00625525">
            <w:pPr>
              <w:rPr>
                <w:rFonts w:asciiTheme="minorHAnsi" w:hAnsiTheme="minorHAnsi"/>
                <w:sz w:val="20"/>
                <w:szCs w:val="20"/>
              </w:rPr>
            </w:pPr>
            <w:r w:rsidRPr="006877D8">
              <w:rPr>
                <w:rFonts w:asciiTheme="minorHAnsi" w:hAnsiTheme="minorHAnsi"/>
                <w:sz w:val="20"/>
                <w:szCs w:val="20"/>
              </w:rPr>
              <w:t xml:space="preserve">Afspraken rondom het toepassen van </w:t>
            </w:r>
            <w:proofErr w:type="spellStart"/>
            <w:r w:rsidRPr="006877D8">
              <w:rPr>
                <w:rFonts w:asciiTheme="minorHAnsi" w:hAnsiTheme="minorHAnsi"/>
                <w:sz w:val="20"/>
                <w:szCs w:val="20"/>
              </w:rPr>
              <w:t>namespaces</w:t>
            </w:r>
            <w:proofErr w:type="spellEnd"/>
            <w:r w:rsidRPr="006877D8">
              <w:rPr>
                <w:rFonts w:asciiTheme="minorHAnsi" w:hAnsiTheme="minorHAnsi"/>
                <w:sz w:val="20"/>
                <w:szCs w:val="20"/>
              </w:rPr>
              <w:t xml:space="preserve">, vocabulaires en </w:t>
            </w:r>
            <w:proofErr w:type="spellStart"/>
            <w:r w:rsidRPr="006877D8">
              <w:rPr>
                <w:rFonts w:asciiTheme="minorHAnsi" w:hAnsiTheme="minorHAnsi"/>
                <w:sz w:val="20"/>
                <w:szCs w:val="20"/>
              </w:rPr>
              <w:t>ontologieën</w:t>
            </w:r>
            <w:proofErr w:type="spellEnd"/>
          </w:p>
        </w:tc>
      </w:tr>
    </w:tbl>
    <w:p w14:paraId="43030E9B" w14:textId="076D19D1" w:rsidR="00094426" w:rsidRDefault="00094426" w:rsidP="008B7AD9">
      <w:pPr>
        <w:spacing w:after="0"/>
      </w:pPr>
      <w:r>
        <w:rPr>
          <w:noProof/>
          <w:lang w:eastAsia="nl-NL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2B4878B2" wp14:editId="599754E6">
                <wp:simplePos x="0" y="0"/>
                <wp:positionH relativeFrom="column">
                  <wp:posOffset>-84455</wp:posOffset>
                </wp:positionH>
                <wp:positionV relativeFrom="paragraph">
                  <wp:posOffset>101600</wp:posOffset>
                </wp:positionV>
                <wp:extent cx="5740400" cy="2395220"/>
                <wp:effectExtent l="0" t="0" r="12700" b="24130"/>
                <wp:wrapSquare wrapText="bothSides"/>
                <wp:docPr id="1" name="Papie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Rechthoek 2"/>
                        <wps:cNvSpPr/>
                        <wps:spPr>
                          <a:xfrm>
                            <a:off x="1" y="49696"/>
                            <a:ext cx="2623929" cy="234563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56D382" w14:textId="48EFCD65" w:rsidR="00CC7563" w:rsidRDefault="008B7AD9" w:rsidP="00CC7563">
                              <w:pPr>
                                <w:jc w:val="center"/>
                              </w:pPr>
                              <w:r>
                                <w:t>Metadata transport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hoek 3"/>
                        <wps:cNvSpPr/>
                        <wps:spPr>
                          <a:xfrm>
                            <a:off x="198782" y="288235"/>
                            <a:ext cx="2196548" cy="194806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1382E0" w14:textId="2E02060B" w:rsidR="00CC7563" w:rsidRDefault="008B7AD9" w:rsidP="00CC7563">
                              <w:pPr>
                                <w:jc w:val="center"/>
                              </w:pPr>
                              <w:r>
                                <w:t>Samengesteld object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hoek 6"/>
                        <wps:cNvSpPr/>
                        <wps:spPr>
                          <a:xfrm>
                            <a:off x="506896" y="993913"/>
                            <a:ext cx="1600199" cy="64604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F0B279" w14:textId="6FC35F0C" w:rsidR="00CC7563" w:rsidRDefault="008B7AD9" w:rsidP="00CC7563">
                              <w:pPr>
                                <w:jc w:val="center"/>
                              </w:pPr>
                              <w:r>
                                <w:t>Beschrijving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hthoek 7"/>
                        <wps:cNvSpPr/>
                        <wps:spPr>
                          <a:xfrm>
                            <a:off x="506896" y="556592"/>
                            <a:ext cx="1600199" cy="2683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7ED41F" w14:textId="7BAE56EE" w:rsidR="00CC7563" w:rsidRDefault="008B7AD9" w:rsidP="00CC7563">
                              <w:pPr>
                                <w:jc w:val="center"/>
                              </w:pPr>
                              <w:r>
                                <w:t xml:space="preserve">Persistent </w:t>
                              </w:r>
                              <w:proofErr w:type="spellStart"/>
                              <w:r>
                                <w:t>Identifier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hthoek 8"/>
                        <wps:cNvSpPr/>
                        <wps:spPr>
                          <a:xfrm>
                            <a:off x="506896" y="1759226"/>
                            <a:ext cx="1600199" cy="2584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DEAFD8" w14:textId="4C7F9DFC" w:rsidR="00CC7563" w:rsidRDefault="008B7AD9" w:rsidP="00CC7563">
                              <w:pPr>
                                <w:jc w:val="center"/>
                              </w:pPr>
                              <w:r>
                                <w:t>Vocabulaires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hthoek 9"/>
                        <wps:cNvSpPr/>
                        <wps:spPr>
                          <a:xfrm>
                            <a:off x="725556" y="1302027"/>
                            <a:ext cx="1212574" cy="24847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F3FEBA" w14:textId="0859A842" w:rsidR="00CC7563" w:rsidRDefault="008B7AD9" w:rsidP="00CC7563">
                              <w:pPr>
                                <w:jc w:val="center"/>
                              </w:pPr>
                              <w:r>
                                <w:t>Vocabulaires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hthoek 10"/>
                        <wps:cNvSpPr/>
                        <wps:spPr>
                          <a:xfrm>
                            <a:off x="3101010" y="49696"/>
                            <a:ext cx="2623929" cy="234563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0CA0DB" w14:textId="77777777" w:rsidR="00094426" w:rsidRDefault="00094426" w:rsidP="00CC7563">
                              <w:pPr>
                                <w:jc w:val="center"/>
                              </w:pPr>
                              <w:r>
                                <w:t>OAI-PMH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hoek 11"/>
                        <wps:cNvSpPr/>
                        <wps:spPr>
                          <a:xfrm>
                            <a:off x="3299791" y="288235"/>
                            <a:ext cx="2196548" cy="194806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83C1E1" w14:textId="77777777" w:rsidR="00094426" w:rsidRDefault="00094426" w:rsidP="00CC7563">
                              <w:pPr>
                                <w:jc w:val="center"/>
                              </w:pPr>
                              <w:r>
                                <w:t>DIDL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hoek 12"/>
                        <wps:cNvSpPr/>
                        <wps:spPr>
                          <a:xfrm>
                            <a:off x="3607905" y="993913"/>
                            <a:ext cx="1600199" cy="64604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B1CA27" w14:textId="77777777" w:rsidR="00094426" w:rsidRDefault="00094426" w:rsidP="00CC7563">
                              <w:pPr>
                                <w:jc w:val="center"/>
                              </w:pPr>
                              <w:r>
                                <w:t>MODS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hoek 13"/>
                        <wps:cNvSpPr/>
                        <wps:spPr>
                          <a:xfrm>
                            <a:off x="3607905" y="556592"/>
                            <a:ext cx="1600199" cy="2683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A505EC" w14:textId="77777777" w:rsidR="00094426" w:rsidRDefault="00094426" w:rsidP="00CC7563">
                              <w:pPr>
                                <w:jc w:val="center"/>
                              </w:pPr>
                              <w:r>
                                <w:t>URN:NBN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hoek 14"/>
                        <wps:cNvSpPr/>
                        <wps:spPr>
                          <a:xfrm>
                            <a:off x="3607905" y="1759226"/>
                            <a:ext cx="1600199" cy="2584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E0FAB6" w14:textId="77777777" w:rsidR="00094426" w:rsidRDefault="00094426" w:rsidP="00CC7563">
                              <w:pPr>
                                <w:jc w:val="center"/>
                              </w:pPr>
                              <w:proofErr w:type="spellStart"/>
                              <w:r>
                                <w:t>Semantics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hthoek 15"/>
                        <wps:cNvSpPr/>
                        <wps:spPr>
                          <a:xfrm>
                            <a:off x="3826565" y="1302027"/>
                            <a:ext cx="1212574" cy="24847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FEF901" w14:textId="77777777" w:rsidR="00094426" w:rsidRDefault="00094426" w:rsidP="00CC7563">
                              <w:pPr>
                                <w:jc w:val="center"/>
                              </w:pPr>
                              <w:proofErr w:type="spellStart"/>
                              <w:r>
                                <w:t>Semantics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elijk 4"/>
                        <wps:cNvSpPr/>
                        <wps:spPr>
                          <a:xfrm>
                            <a:off x="2660820" y="993913"/>
                            <a:ext cx="415475" cy="308114"/>
                          </a:xfrm>
                          <a:prstGeom prst="mathEqual">
                            <a:avLst>
                              <a:gd name="adj1" fmla="val 23520"/>
                              <a:gd name="adj2" fmla="val 25379"/>
                            </a:avLst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878B2" id="Papier 1" o:spid="_x0000_s1026" editas="canvas" style="position:absolute;margin-left:-6.65pt;margin-top:8pt;width:452pt;height:188.6pt;z-index:251658240" coordsize="57404,23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404;height:23952;visibility:visible;mso-wrap-style:square">
                  <v:fill o:detectmouseclick="t"/>
                  <v:path o:connecttype="none"/>
                </v:shape>
                <v:rect id="Rechthoek 2" o:spid="_x0000_s1028" style="position:absolute;top:496;width:26239;height:23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bh8MA&#10;AADaAAAADwAAAGRycy9kb3ducmV2LnhtbESPQWvCQBSE7wX/w/IEb83GHFSiq4ggLV5Krej1JftM&#10;grtv0+xWY399VxB6HGbmG2ax6q0RV+p841jBOElBEJdON1wpOHxtX2cgfEDWaByTgjt5WC0HLwvM&#10;tbvxJ133oRIRwj5HBXUIbS6lL2uy6BPXEkfv7DqLIcqukrrDW4RbI7M0nUiLDceFGlva1FRe9j9W&#10;AbO7z07Z7k3/7o7T9cd3YaiYKjUa9us5iEB9+A8/2+9aQQaPK/EG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Qbh8MAAADaAAAADwAAAAAAAAAAAAAAAACYAgAAZHJzL2Rv&#10;d25yZXYueG1sUEsFBgAAAAAEAAQA9QAAAIgDAAAAAA==&#10;" fillcolor="#9bbb59 [3206]" strokecolor="#4e6128 [1606]" strokeweight="2pt">
                  <v:textbox>
                    <w:txbxContent>
                      <w:p w14:paraId="0256D382" w14:textId="48EFCD65" w:rsidR="00CC7563" w:rsidRDefault="008B7AD9" w:rsidP="00CC7563">
                        <w:pPr>
                          <w:jc w:val="center"/>
                        </w:pPr>
                        <w:r>
                          <w:t>Metadata transport</w:t>
                        </w:r>
                      </w:p>
                    </w:txbxContent>
                  </v:textbox>
                </v:rect>
                <v:rect id="Rechthoek 3" o:spid="_x0000_s1029" style="position:absolute;left:1987;top:2882;width:21966;height:19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6ycEA&#10;AADaAAAADwAAAGRycy9kb3ducmV2LnhtbESPzWrDMBCE74W8g9hAb42cFkJwo5jSYBKaS/PzAFtr&#10;Y5lYKyGpjvv2UaHQ4zAz3zCrarS9GCjEzrGC+awAQdw43XGr4Hyqn5YgYkLW2DsmBT8UoVpPHlZY&#10;anfjAw3H1IoM4ViiApOSL6WMjSGLceY8cfYuLlhMWYZW6oC3DLe9fC6KhbTYcV4w6OndUHM9flsF&#10;oaWN/Pz6cOj3fggBF6beolKP0/HtFUSiMf2H/9o7reAFfq/kG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BesnBAAAA2gAAAA8AAAAAAAAAAAAAAAAAmAIAAGRycy9kb3du&#10;cmV2LnhtbFBLBQYAAAAABAAEAPUAAACGAwAAAAA=&#10;" fillcolor="#4f81bd [3204]" strokecolor="#243f60 [1604]" strokeweight="2pt">
                  <v:textbox>
                    <w:txbxContent>
                      <w:p w14:paraId="791382E0" w14:textId="2E02060B" w:rsidR="00CC7563" w:rsidRDefault="008B7AD9" w:rsidP="00CC7563">
                        <w:pPr>
                          <w:jc w:val="center"/>
                        </w:pPr>
                        <w:r>
                          <w:t>Samengesteld object</w:t>
                        </w:r>
                      </w:p>
                    </w:txbxContent>
                  </v:textbox>
                </v:rect>
                <v:rect id="Rechthoek 6" o:spid="_x0000_s1030" style="position:absolute;left:5068;top:9939;width:16002;height:6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j5D8IA&#10;AADaAAAADwAAAGRycy9kb3ducmV2LnhtbESPQYvCMBSE74L/IbwFb5qusKLVKCKW1dtaFxZvj+bZ&#10;FpuX2kRb/71ZEDwOM/MNs1h1phJ3alxpWcHnKAJBnFldcq7g95gMpyCcR9ZYWSYFD3KwWvZ7C4y1&#10;bflA99TnIkDYxaig8L6OpXRZQQbdyNbEwTvbxqAPssmlbrANcFPJcRRNpMGSw0KBNW0Kyi7pzSg4&#10;c5lsT0l7ld/5LK3/9l/d9Gev1OCjW89BeOr8O/xq77SCCfxfC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PkPwgAAANoAAAAPAAAAAAAAAAAAAAAAAJgCAABkcnMvZG93&#10;bnJldi54bWxQSwUGAAAAAAQABAD1AAAAhwMAAAAA&#10;" fillcolor="#4bacc6 [3208]" strokecolor="#205867 [1608]" strokeweight="2pt">
                  <v:textbox>
                    <w:txbxContent>
                      <w:p w14:paraId="65F0B279" w14:textId="6FC35F0C" w:rsidR="00CC7563" w:rsidRDefault="008B7AD9" w:rsidP="00CC7563">
                        <w:pPr>
                          <w:jc w:val="center"/>
                        </w:pPr>
                        <w:r>
                          <w:t>Beschrijving</w:t>
                        </w:r>
                      </w:p>
                    </w:txbxContent>
                  </v:textbox>
                </v:rect>
                <v:rect id="Rechthoek 7" o:spid="_x0000_s1031" style="position:absolute;left:5068;top:5565;width:16002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wJMEA&#10;AADaAAAADwAAAGRycy9kb3ducmV2LnhtbESPS6vCMBSE94L/IRzBnabehY9qFBHuQwTBB7g9NMem&#10;2JyUJmq9v94IgsthZr5hZovGluJGtS8cKxj0ExDEmdMF5wqOh+/eGIQPyBpLx6TgQR4W83Zrhql2&#10;d97RbR9yESHsU1RgQqhSKX1myKLvu4o4emdXWwxR1rnUNd4j3JbyK0mG0mLBccFgRStD2WV/tQqa&#10;MW/y/8lpe52c1iNj9c/vI7FKdTvNcgoiUBM+4Xf7TysYwetKv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HcCTBAAAA2gAAAA8AAAAAAAAAAAAAAAAAmAIAAGRycy9kb3du&#10;cmV2LnhtbFBLBQYAAAAABAAEAPUAAACGAwAAAAA=&#10;" fillcolor="#8064a2 [3207]" strokecolor="#3f3151 [1607]" strokeweight="2pt">
                  <v:textbox>
                    <w:txbxContent>
                      <w:p w14:paraId="687ED41F" w14:textId="7BAE56EE" w:rsidR="00CC7563" w:rsidRDefault="008B7AD9" w:rsidP="00CC7563">
                        <w:pPr>
                          <w:jc w:val="center"/>
                        </w:pPr>
                        <w:r>
                          <w:t xml:space="preserve">Persistent </w:t>
                        </w:r>
                        <w:proofErr w:type="spellStart"/>
                        <w:r>
                          <w:t>Identifier</w:t>
                        </w:r>
                        <w:proofErr w:type="spellEnd"/>
                      </w:p>
                    </w:txbxContent>
                  </v:textbox>
                </v:rect>
                <v:rect id="Rechthoek 8" o:spid="_x0000_s1032" style="position:absolute;left:5068;top:17592;width:16002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68EcEA&#10;AADaAAAADwAAAGRycy9kb3ducmV2LnhtbERPy4rCMBTdC/MP4Q7MRjR1lEGqUcYXKHRjRxB3l+ZO&#10;W2xuShO1+vVmIbg8nPd03ppKXKlxpWUFg34EgjizuuRcweFv0xuDcB5ZY2WZFNzJwXz20ZlirO2N&#10;93RNfS5CCLsYFRTe17GULivIoOvbmjhw/7Yx6ANscqkbvIVwU8nvKPqRBksODQXWtCwoO6cXo6Br&#10;RotspY/nJBnzLnGn9bD7OCj19dn+TkB4av1b/HJvtYKwNVwJN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uvBHBAAAA2gAAAA8AAAAAAAAAAAAAAAAAmAIAAGRycy9kb3du&#10;cmV2LnhtbFBLBQYAAAAABAAEAPUAAACGAwAAAAA=&#10;" fillcolor="#f79646 [3209]" strokecolor="#974706 [1609]" strokeweight="2pt">
                  <v:textbox>
                    <w:txbxContent>
                      <w:p w14:paraId="02DEAFD8" w14:textId="4C7F9DFC" w:rsidR="00CC7563" w:rsidRDefault="008B7AD9" w:rsidP="00CC7563">
                        <w:pPr>
                          <w:jc w:val="center"/>
                        </w:pPr>
                        <w:r>
                          <w:t>Vocabulaires</w:t>
                        </w:r>
                      </w:p>
                    </w:txbxContent>
                  </v:textbox>
                </v:rect>
                <v:rect id="Rechthoek 9" o:spid="_x0000_s1033" style="position:absolute;left:7255;top:13020;width:12126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IZisUA&#10;AADaAAAADwAAAGRycy9kb3ducmV2LnhtbESPW2vCQBSE3wv+h+UIfRGzaS2iMavYGyjkxQuIb4fs&#10;MQlmz4bsVmN/fbcg+DjMzDdMuuhMLS7UusqygpcoBkGcW11xoWC/+x5OQDiPrLG2TApu5GAx7z2l&#10;mGh75Q1dtr4QAcIuQQWl900ipctLMugi2xAH72Rbgz7ItpC6xWuAm1q+xvFYGqw4LJTY0EdJ+Xn7&#10;YxQMzNt7/qkP5yyb8Dpzx6/R4Hev1HO/W85AeOr8I3xvr7SCKfxfCT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hmKxQAAANoAAAAPAAAAAAAAAAAAAAAAAJgCAABkcnMv&#10;ZG93bnJldi54bWxQSwUGAAAAAAQABAD1AAAAigMAAAAA&#10;" fillcolor="#f79646 [3209]" strokecolor="#974706 [1609]" strokeweight="2pt">
                  <v:textbox>
                    <w:txbxContent>
                      <w:p w14:paraId="60F3FEBA" w14:textId="0859A842" w:rsidR="00CC7563" w:rsidRDefault="008B7AD9" w:rsidP="00CC7563">
                        <w:pPr>
                          <w:jc w:val="center"/>
                        </w:pPr>
                        <w:r>
                          <w:t>Vocabulaires</w:t>
                        </w:r>
                      </w:p>
                    </w:txbxContent>
                  </v:textbox>
                </v:rect>
                <v:rect id="Rechthoek 10" o:spid="_x0000_s1034" style="position:absolute;left:31010;top:496;width:26239;height:23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ls8QA&#10;AADbAAAADwAAAGRycy9kb3ducmV2LnhtbESPQWvCQBCF7wX/wzKCt7ppDjVEV5GCtOQiTUu9jtkx&#10;CWZnY3arsb++cyj0NsN78943q83oOnWlIbSeDTzNE1DElbct1wY+P3aPGagQkS12nsnAnQJs1pOH&#10;FebW3/idrmWslYRwyNFAE2Ofax2qhhyGue+JRTv5wWGUdai1HfAm4a7TaZI8a4ctS0ODPb00VJ3L&#10;b2eA2d+zQ1q82p/ia7HdX44dHRfGzKbjdgkq0hj/zX/Xb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pbPEAAAA2wAAAA8AAAAAAAAAAAAAAAAAmAIAAGRycy9k&#10;b3ducmV2LnhtbFBLBQYAAAAABAAEAPUAAACJAwAAAAA=&#10;" fillcolor="#9bbb59 [3206]" strokecolor="#4e6128 [1606]" strokeweight="2pt">
                  <v:textbox>
                    <w:txbxContent>
                      <w:p w14:paraId="300CA0DB" w14:textId="77777777" w:rsidR="00094426" w:rsidRDefault="00094426" w:rsidP="00CC7563">
                        <w:pPr>
                          <w:jc w:val="center"/>
                        </w:pPr>
                        <w:r>
                          <w:t>OAI-PMH</w:t>
                        </w:r>
                      </w:p>
                    </w:txbxContent>
                  </v:textbox>
                </v:rect>
                <v:rect id="Rechthoek 11" o:spid="_x0000_s1035" style="position:absolute;left:32997;top:2882;width:21966;height:19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rcsb8A&#10;AADbAAAADwAAAGRycy9kb3ducmV2LnhtbERPzWoCMRC+C32HMIXeNLseRLYbF7FIS3tR2weYbqab&#10;pZtJSOK6fftGELzNx/c7dTPZQYwUYu9YQbkoQBC3TvfcKfj63M/XIGJC1jg4JgV/FKHZPMxqrLS7&#10;8JHGU+pEDuFYoQKTkq+kjK0hi3HhPHHmflywmDIMndQBLzncDnJZFCtpsefcYNDTzlD7ezpbBaGj&#10;F3n4fnfoP/wYAq7M/hWVenqcts8gEk3pLr6533SeX8L1l3y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StyxvwAAANsAAAAPAAAAAAAAAAAAAAAAAJgCAABkcnMvZG93bnJl&#10;di54bWxQSwUGAAAAAAQABAD1AAAAhAMAAAAA&#10;" fillcolor="#4f81bd [3204]" strokecolor="#243f60 [1604]" strokeweight="2pt">
                  <v:textbox>
                    <w:txbxContent>
                      <w:p w14:paraId="6F83C1E1" w14:textId="77777777" w:rsidR="00094426" w:rsidRDefault="00094426" w:rsidP="00CC7563">
                        <w:pPr>
                          <w:jc w:val="center"/>
                        </w:pPr>
                        <w:r>
                          <w:t>DIDL</w:t>
                        </w:r>
                      </w:p>
                    </w:txbxContent>
                  </v:textbox>
                </v:rect>
                <v:rect id="Rechthoek 12" o:spid="_x0000_s1036" style="position:absolute;left:36079;top:9939;width:16002;height:6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HF78IA&#10;AADbAAAADwAAAGRycy9kb3ducmV2LnhtbERPS2vCQBC+F/wPyxR6q5sGKja6CSINrTdNC8XbkJ08&#10;MDubZrcm/feuIHibj+8562wynTjT4FrLCl7mEQji0uqWawXfX/nzEoTzyBo7y6Tgnxxk6exhjYm2&#10;Ix/oXPhahBB2CSpovO8TKV3ZkEE3tz1x4Co7GPQBDrXUA44h3HQyjqKFNNhyaGiwp21D5an4Mwoq&#10;bvP3Yz7+yo/6reh/dq/Tcr9T6ulx2qxAeJr8XXxzf+owP4brL+EAm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cXvwgAAANsAAAAPAAAAAAAAAAAAAAAAAJgCAABkcnMvZG93&#10;bnJldi54bWxQSwUGAAAAAAQABAD1AAAAhwMAAAAA&#10;" fillcolor="#4bacc6 [3208]" strokecolor="#205867 [1608]" strokeweight="2pt">
                  <v:textbox>
                    <w:txbxContent>
                      <w:p w14:paraId="2CB1CA27" w14:textId="77777777" w:rsidR="00094426" w:rsidRDefault="00094426" w:rsidP="00CC7563">
                        <w:pPr>
                          <w:jc w:val="center"/>
                        </w:pPr>
                        <w:r>
                          <w:t>MODS</w:t>
                        </w:r>
                      </w:p>
                    </w:txbxContent>
                  </v:textbox>
                </v:rect>
                <v:rect id="Rechthoek 13" o:spid="_x0000_s1037" style="position:absolute;left:36079;top:5565;width:16002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++RcIA&#10;AADbAAAADwAAAGRycy9kb3ducmV2LnhtbERP22rCQBB9F/yHZYS+6aYt1BhdRYReRCg0Lfg6ZMds&#10;aHY2ZFeT9Ou7guDbHM51Vpve1uJCra8cK3icJSCIC6crLhX8fL9OUxA+IGusHZOCgTxs1uPRCjPt&#10;Ov6iSx5KEUPYZ6jAhNBkUvrCkEU/cw1x5E6utRgibEupW+xiuK3lU5K8SIsVxwaDDe0MFb/52Sro&#10;Uz6Uf4vj53lx3M+N1W/vQ2KVepj02yWIQH24i2/uDx3nP8P1l3i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75FwgAAANsAAAAPAAAAAAAAAAAAAAAAAJgCAABkcnMvZG93&#10;bnJldi54bWxQSwUGAAAAAAQABAD1AAAAhwMAAAAA&#10;" fillcolor="#8064a2 [3207]" strokecolor="#3f3151 [1607]" strokeweight="2pt">
                  <v:textbox>
                    <w:txbxContent>
                      <w:p w14:paraId="3BA505EC" w14:textId="77777777" w:rsidR="00094426" w:rsidRDefault="00094426" w:rsidP="00CC7563">
                        <w:pPr>
                          <w:jc w:val="center"/>
                        </w:pPr>
                        <w:r>
                          <w:t>URN:NBN</w:t>
                        </w:r>
                      </w:p>
                    </w:txbxContent>
                  </v:textbox>
                </v:rect>
                <v:rect id="Rechthoek 14" o:spid="_x0000_s1038" style="position:absolute;left:36079;top:17592;width:16002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9kYcMA&#10;AADbAAAADwAAAGRycy9kb3ducmV2LnhtbERPS2vCQBC+F/wPywhegm5qg4ToKvYFLeTSKIi3ITsm&#10;wexsyG41+uu7hUJv8/E9Z7UZTCsu1LvGsoLHWQyCuLS64UrBfvc+TUE4j6yxtUwKbuRgsx49rDDT&#10;9spfdCl8JUIIuwwV1N53mZSurMmgm9mOOHAn2xv0AfaV1D1eQ7hp5TyOF9Jgw6Ghxo5eairPxbdR&#10;EJnkuXzVh3Oep/yZu+PbU3TfKzUZD9slCE+D/xf/uT90mJ/A7y/h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9kYcMAAADbAAAADwAAAAAAAAAAAAAAAACYAgAAZHJzL2Rv&#10;d25yZXYueG1sUEsFBgAAAAAEAAQA9QAAAIgDAAAAAA==&#10;" fillcolor="#f79646 [3209]" strokecolor="#974706 [1609]" strokeweight="2pt">
                  <v:textbox>
                    <w:txbxContent>
                      <w:p w14:paraId="44E0FAB6" w14:textId="77777777" w:rsidR="00094426" w:rsidRDefault="00094426" w:rsidP="00CC7563">
                        <w:pPr>
                          <w:jc w:val="center"/>
                        </w:pPr>
                        <w:proofErr w:type="spellStart"/>
                        <w:r>
                          <w:t>Semantics</w:t>
                        </w:r>
                        <w:proofErr w:type="spellEnd"/>
                      </w:p>
                    </w:txbxContent>
                  </v:textbox>
                </v:rect>
                <v:rect id="Rechthoek 15" o:spid="_x0000_s1039" style="position:absolute;left:38265;top:13020;width:12126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PB+sMA&#10;AADbAAAADwAAAGRycy9kb3ducmV2LnhtbERPS2vCQBC+C/6HZQpepG58tEjqKj6hhVwaBeltyE6T&#10;YHY2ZFeN/npXKPQ2H99zZovWVOJCjSstKxgOIhDEmdUl5woO+93rFITzyBory6TgRg4W825nhrG2&#10;V/6mS+pzEULYxaig8L6OpXRZQQbdwNbEgfu1jUEfYJNL3eA1hJtKjqLoXRosOTQUWNO6oOyUno2C&#10;vpmsso0+npJkyl+J+9mO+/eDUr2XdvkBwlPr/8V/7k8d5r/B85dw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PB+sMAAADbAAAADwAAAAAAAAAAAAAAAACYAgAAZHJzL2Rv&#10;d25yZXYueG1sUEsFBgAAAAAEAAQA9QAAAIgDAAAAAA==&#10;" fillcolor="#f79646 [3209]" strokecolor="#974706 [1609]" strokeweight="2pt">
                  <v:textbox>
                    <w:txbxContent>
                      <w:p w14:paraId="05FEF901" w14:textId="77777777" w:rsidR="00094426" w:rsidRDefault="00094426" w:rsidP="00CC7563">
                        <w:pPr>
                          <w:jc w:val="center"/>
                        </w:pPr>
                        <w:proofErr w:type="spellStart"/>
                        <w:r>
                          <w:t>Semantics</w:t>
                        </w:r>
                        <w:proofErr w:type="spellEnd"/>
                      </w:p>
                    </w:txbxContent>
                  </v:textbox>
                </v:rect>
                <v:shape id="Gelijk 4" o:spid="_x0000_s1040" style="position:absolute;left:26608;top:9939;width:4154;height:3081;visibility:visible;mso-wrap-style:square;v-text-anchor:middle" coordsize="415475,30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z08MA&#10;AADaAAAADwAAAGRycy9kb3ducmV2LnhtbESPQWsCMRSE74L/ITzBm2YVEd0aRQpFT2ptu3h8bp67&#10;wc3Lsom67a9vhEKPw8x8wyxWra3EnRpvHCsYDRMQxLnThgsFnx9vgxkIH5A1Vo5JwTd5WC27nQWm&#10;2j34ne7HUIgIYZ+igjKEOpXS5yVZ9ENXE0fv4hqLIcqmkLrBR4TbSo6TZCotGo4LJdb0WlJ+Pd6s&#10;grk7Xw5fu9N8YzYZGbvPfmanTKl+r12/gAjUhv/wX3urFUzgeSXe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hz08MAAADaAAAADwAAAAAAAAAAAAAAAACYAgAAZHJzL2Rv&#10;d25yZXYueG1sUEsFBgAAAAAEAAQA9QAAAIgDAAAAAA==&#10;" path="m55071,42490r305333,l360404,114959r-305333,l55071,42490xm55071,193155r305333,l360404,265624r-305333,l55071,193155xe" fillcolor="#c0504d [3205]" strokecolor="#622423 [1605]" strokeweight="2pt">
                  <v:path arrowok="t" o:connecttype="custom" o:connectlocs="55071,42490;360404,42490;360404,114959;55071,114959;55071,42490;55071,193155;360404,193155;360404,265624;55071,265624;55071,193155" o:connectangles="0,0,0,0,0,0,0,0,0,0"/>
                </v:shape>
                <w10:wrap type="square"/>
              </v:group>
            </w:pict>
          </mc:Fallback>
        </mc:AlternateContent>
      </w:r>
      <w:r>
        <w:t xml:space="preserve">De figuur </w:t>
      </w:r>
      <w:r w:rsidR="008B7AD9">
        <w:t>hierboven</w:t>
      </w:r>
      <w:r>
        <w:t xml:space="preserve"> geeft aan wat de relaties zijn tussen de kernafspraken.</w:t>
      </w:r>
    </w:p>
    <w:p w14:paraId="67542114" w14:textId="7239FD93" w:rsidR="00094426" w:rsidRDefault="008B7AD9" w:rsidP="00094426">
      <w:pPr>
        <w:pStyle w:val="Lijstalinea"/>
        <w:numPr>
          <w:ilvl w:val="0"/>
          <w:numId w:val="4"/>
        </w:numPr>
        <w:ind w:left="426"/>
      </w:pPr>
      <w:r>
        <w:t xml:space="preserve">DIDL </w:t>
      </w:r>
      <w:r w:rsidR="00094426">
        <w:t xml:space="preserve">records worden </w:t>
      </w:r>
      <w:r>
        <w:t xml:space="preserve">getransporteerd door </w:t>
      </w:r>
      <w:r w:rsidR="00094426">
        <w:t>OAI-PMH</w:t>
      </w:r>
    </w:p>
    <w:p w14:paraId="2185F521" w14:textId="77777777" w:rsidR="00094426" w:rsidRDefault="00094426" w:rsidP="00094426">
      <w:pPr>
        <w:pStyle w:val="Lijstalinea"/>
        <w:numPr>
          <w:ilvl w:val="0"/>
          <w:numId w:val="4"/>
        </w:numPr>
        <w:ind w:left="426"/>
      </w:pPr>
      <w:r>
        <w:t>URN:NBN wordt gebruikt in een DIDL- record</w:t>
      </w:r>
    </w:p>
    <w:p w14:paraId="2B19A5F1" w14:textId="77777777" w:rsidR="00094426" w:rsidRDefault="00094426" w:rsidP="00094426">
      <w:pPr>
        <w:pStyle w:val="Lijstalinea"/>
        <w:numPr>
          <w:ilvl w:val="0"/>
          <w:numId w:val="4"/>
        </w:numPr>
        <w:ind w:left="426"/>
      </w:pPr>
      <w:r>
        <w:t>MODS wordt gebruikt in een DIDL-record</w:t>
      </w:r>
    </w:p>
    <w:p w14:paraId="11FFD5D0" w14:textId="77777777" w:rsidR="00094426" w:rsidRDefault="00094426" w:rsidP="00094426">
      <w:pPr>
        <w:pStyle w:val="Lijstalinea"/>
        <w:numPr>
          <w:ilvl w:val="0"/>
          <w:numId w:val="4"/>
        </w:numPr>
        <w:ind w:left="426"/>
      </w:pPr>
      <w:proofErr w:type="spellStart"/>
      <w:r>
        <w:t>Semantics</w:t>
      </w:r>
      <w:proofErr w:type="spellEnd"/>
      <w:r>
        <w:t xml:space="preserve"> worden gebruikt in zowel MODS als DIDL</w:t>
      </w:r>
    </w:p>
    <w:p w14:paraId="73F6136F" w14:textId="246D24E1" w:rsidR="00985D8F" w:rsidRDefault="00985D8F" w:rsidP="00985D8F">
      <w:pPr>
        <w:pStyle w:val="Kop1"/>
      </w:pPr>
      <w:r>
        <w:t>Functies van de afzonderlijke kernafspraken</w:t>
      </w:r>
    </w:p>
    <w:p w14:paraId="079610A2" w14:textId="4203BEE2" w:rsidR="008B7AD9" w:rsidRDefault="006877D8" w:rsidP="000432EF">
      <w:r>
        <w:t xml:space="preserve">Welk </w:t>
      </w:r>
      <w:r w:rsidR="005B675C">
        <w:t xml:space="preserve">functies bieden </w:t>
      </w:r>
      <w:r w:rsidR="008B7AD9">
        <w:t xml:space="preserve">de </w:t>
      </w:r>
      <w:r>
        <w:t>standaarden die gebruikt worden in de afspraken</w:t>
      </w:r>
      <w:r w:rsidR="008B7AD9">
        <w:t>?</w:t>
      </w:r>
    </w:p>
    <w:p w14:paraId="18B96E15" w14:textId="52E93AEA" w:rsidR="00E84D7B" w:rsidRDefault="00E84D7B" w:rsidP="000432EF">
      <w:r>
        <w:lastRenderedPageBreak/>
        <w:t>Om d</w:t>
      </w:r>
      <w:r w:rsidR="000432EF">
        <w:t>e huidige WO en HBO kennisinfrastructuur zoals we die nu kennen</w:t>
      </w:r>
      <w:r>
        <w:t>,</w:t>
      </w:r>
      <w:r w:rsidR="000432EF">
        <w:t xml:space="preserve"> </w:t>
      </w:r>
      <w:r w:rsidR="005B675C">
        <w:t>zijn een aantal kernfunctionaliteiten noodzakelijk</w:t>
      </w:r>
      <w:r>
        <w:t xml:space="preserve">. Het gebruik van de standaarden heeft ons in staat gesteld </w:t>
      </w:r>
      <w:r w:rsidR="005B675C">
        <w:t>afspraken te maken over deze functionaliteiten</w:t>
      </w:r>
      <w:r>
        <w:t xml:space="preserve">. Hieronder een overzicht welke </w:t>
      </w:r>
      <w:r w:rsidR="005B675C">
        <w:t>benodigdheden</w:t>
      </w:r>
      <w:r>
        <w:t xml:space="preserve"> er waren, en </w:t>
      </w:r>
      <w:r w:rsidR="005B675C">
        <w:t>welke oplossingen, in de vorm van standaarden, zijn gekozen waar afspraken over zijn gemaakt.</w:t>
      </w:r>
    </w:p>
    <w:tbl>
      <w:tblPr>
        <w:tblStyle w:val="Lichtearcering"/>
        <w:tblW w:w="0" w:type="auto"/>
        <w:tblLook w:val="0420" w:firstRow="1" w:lastRow="0" w:firstColumn="0" w:lastColumn="0" w:noHBand="0" w:noVBand="1"/>
      </w:tblPr>
      <w:tblGrid>
        <w:gridCol w:w="7078"/>
        <w:gridCol w:w="1994"/>
      </w:tblGrid>
      <w:tr w:rsidR="00E84D7B" w:rsidRPr="006877D8" w14:paraId="196C35F0" w14:textId="77777777" w:rsidTr="00687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96" w:type="dxa"/>
          </w:tcPr>
          <w:p w14:paraId="73805A8C" w14:textId="6BA54EFC" w:rsidR="00E84D7B" w:rsidRPr="006877D8" w:rsidRDefault="005B675C" w:rsidP="005B6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Benodigdheden voor het maken van een Kennisinfrastructuur voor duurzame toegang tot wetenschappelijke informatie</w:t>
            </w:r>
          </w:p>
        </w:tc>
        <w:tc>
          <w:tcPr>
            <w:tcW w:w="2016" w:type="dxa"/>
          </w:tcPr>
          <w:p w14:paraId="1E1EA9FE" w14:textId="2F9E653F" w:rsidR="00E84D7B" w:rsidRPr="006877D8" w:rsidRDefault="00E84D7B" w:rsidP="000432EF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Oplossing (Standaard)</w:t>
            </w:r>
          </w:p>
        </w:tc>
      </w:tr>
      <w:tr w:rsidR="00E84D7B" w:rsidRPr="006877D8" w14:paraId="2FD72B0A" w14:textId="77777777" w:rsidTr="0068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6" w:type="dxa"/>
          </w:tcPr>
          <w:p w14:paraId="675E08A9" w14:textId="28F39406" w:rsidR="00E84D7B" w:rsidRPr="006877D8" w:rsidRDefault="00E84D7B" w:rsidP="00FA109B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Transport van bibliografische beschrijvingen</w:t>
            </w:r>
          </w:p>
        </w:tc>
        <w:tc>
          <w:tcPr>
            <w:tcW w:w="2016" w:type="dxa"/>
          </w:tcPr>
          <w:p w14:paraId="1D7F1862" w14:textId="01564745" w:rsidR="00E84D7B" w:rsidRPr="006877D8" w:rsidRDefault="00E84D7B" w:rsidP="000432EF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OAI-PMH</w:t>
            </w:r>
          </w:p>
        </w:tc>
      </w:tr>
      <w:tr w:rsidR="00E84D7B" w:rsidRPr="006877D8" w14:paraId="3CEA09B0" w14:textId="77777777" w:rsidTr="006877D8">
        <w:tc>
          <w:tcPr>
            <w:tcW w:w="7196" w:type="dxa"/>
          </w:tcPr>
          <w:p w14:paraId="075808D0" w14:textId="4276239E" w:rsidR="00FA109B" w:rsidRPr="006877D8" w:rsidRDefault="00E84D7B" w:rsidP="00FA109B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Beschrijven van bibliografisch materiaal</w:t>
            </w:r>
            <w:r w:rsidR="00FA109B" w:rsidRPr="006877D8">
              <w:rPr>
                <w:sz w:val="20"/>
                <w:szCs w:val="20"/>
              </w:rPr>
              <w:t>.</w:t>
            </w:r>
            <w:r w:rsidRPr="006877D8">
              <w:rPr>
                <w:sz w:val="20"/>
                <w:szCs w:val="20"/>
              </w:rPr>
              <w:t xml:space="preserve"> </w:t>
            </w:r>
          </w:p>
          <w:p w14:paraId="28533363" w14:textId="09ACDF85" w:rsidR="00FA109B" w:rsidRPr="006877D8" w:rsidRDefault="00FA109B" w:rsidP="00FA109B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Behalen van hoge “</w:t>
            </w:r>
            <w:proofErr w:type="spellStart"/>
            <w:r w:rsidRPr="006877D8">
              <w:rPr>
                <w:sz w:val="20"/>
                <w:szCs w:val="20"/>
              </w:rPr>
              <w:t>recall</w:t>
            </w:r>
            <w:proofErr w:type="spellEnd"/>
            <w:r w:rsidRPr="006877D8">
              <w:rPr>
                <w:sz w:val="20"/>
                <w:szCs w:val="20"/>
              </w:rPr>
              <w:t xml:space="preserve"> </w:t>
            </w:r>
            <w:proofErr w:type="spellStart"/>
            <w:r w:rsidRPr="006877D8">
              <w:rPr>
                <w:sz w:val="20"/>
                <w:szCs w:val="20"/>
              </w:rPr>
              <w:t>and</w:t>
            </w:r>
            <w:proofErr w:type="spellEnd"/>
            <w:r w:rsidRPr="006877D8">
              <w:rPr>
                <w:sz w:val="20"/>
                <w:szCs w:val="20"/>
              </w:rPr>
              <w:t xml:space="preserve"> </w:t>
            </w:r>
            <w:proofErr w:type="spellStart"/>
            <w:r w:rsidRPr="006877D8">
              <w:rPr>
                <w:sz w:val="20"/>
                <w:szCs w:val="20"/>
              </w:rPr>
              <w:t>precision</w:t>
            </w:r>
            <w:proofErr w:type="spellEnd"/>
            <w:r w:rsidRPr="006877D8">
              <w:rPr>
                <w:sz w:val="20"/>
                <w:szCs w:val="20"/>
              </w:rPr>
              <w:t>” resultaten bij Information Retrieval (in NARCIS en HBO kennisbank)</w:t>
            </w:r>
          </w:p>
          <w:p w14:paraId="734A1DB2" w14:textId="79EFAFEB" w:rsidR="00E84D7B" w:rsidRPr="006877D8" w:rsidRDefault="00FA109B" w:rsidP="00FA109B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Voldoen aan hoge filtering eisen van eindgebruikers (van NARCIS en HBO kennisbank)</w:t>
            </w:r>
          </w:p>
        </w:tc>
        <w:tc>
          <w:tcPr>
            <w:tcW w:w="2016" w:type="dxa"/>
          </w:tcPr>
          <w:p w14:paraId="7D623DCE" w14:textId="025CE503" w:rsidR="00E84D7B" w:rsidRPr="006877D8" w:rsidRDefault="00FA109B" w:rsidP="000432EF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MODS</w:t>
            </w:r>
          </w:p>
        </w:tc>
      </w:tr>
      <w:tr w:rsidR="00FA109B" w:rsidRPr="006877D8" w14:paraId="19270FCE" w14:textId="77777777" w:rsidTr="0068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6" w:type="dxa"/>
          </w:tcPr>
          <w:p w14:paraId="166C683A" w14:textId="61ED4539" w:rsidR="00FA109B" w:rsidRPr="006877D8" w:rsidRDefault="00FA109B" w:rsidP="00FA109B">
            <w:pPr>
              <w:keepNext/>
              <w:numPr>
                <w:ilvl w:val="0"/>
                <w:numId w:val="2"/>
              </w:numPr>
              <w:spacing w:after="20"/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Bij elkaar houden van een publicatie opgesplitst in meerdere bestanden (</w:t>
            </w:r>
            <w:r w:rsidR="00202F7C" w:rsidRPr="006877D8">
              <w:rPr>
                <w:sz w:val="20"/>
                <w:szCs w:val="20"/>
              </w:rPr>
              <w:t>als URL’s</w:t>
            </w:r>
            <w:r w:rsidRPr="006877D8">
              <w:rPr>
                <w:sz w:val="20"/>
                <w:szCs w:val="20"/>
              </w:rPr>
              <w:t>)</w:t>
            </w:r>
          </w:p>
          <w:p w14:paraId="09A414C3" w14:textId="442D6E94" w:rsidR="00FA109B" w:rsidRPr="006877D8" w:rsidRDefault="00FA109B" w:rsidP="00FA109B">
            <w:pPr>
              <w:keepNext/>
              <w:numPr>
                <w:ilvl w:val="0"/>
                <w:numId w:val="2"/>
              </w:numPr>
              <w:spacing w:after="20"/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Meer publicaties in Open Access plaatsen</w:t>
            </w:r>
            <w:r w:rsidR="009D1A47" w:rsidRPr="006877D8">
              <w:rPr>
                <w:sz w:val="20"/>
                <w:szCs w:val="20"/>
              </w:rPr>
              <w:t xml:space="preserve">; </w:t>
            </w:r>
            <w:r w:rsidRPr="006877D8">
              <w:rPr>
                <w:sz w:val="20"/>
                <w:szCs w:val="20"/>
              </w:rPr>
              <w:t xml:space="preserve">door de losse bestanden </w:t>
            </w:r>
            <w:r w:rsidR="00202F7C" w:rsidRPr="006877D8">
              <w:rPr>
                <w:sz w:val="20"/>
                <w:szCs w:val="20"/>
              </w:rPr>
              <w:t>(URL’s)</w:t>
            </w:r>
            <w:r w:rsidRPr="006877D8">
              <w:rPr>
                <w:sz w:val="20"/>
                <w:szCs w:val="20"/>
              </w:rPr>
              <w:t xml:space="preserve"> binnen samenstellingen met toegangsrechten</w:t>
            </w:r>
            <w:r w:rsidR="009D1A47" w:rsidRPr="006877D8">
              <w:rPr>
                <w:sz w:val="20"/>
                <w:szCs w:val="20"/>
              </w:rPr>
              <w:t xml:space="preserve"> (Open/Closed Access)</w:t>
            </w:r>
            <w:r w:rsidRPr="006877D8">
              <w:rPr>
                <w:sz w:val="20"/>
                <w:szCs w:val="20"/>
              </w:rPr>
              <w:t xml:space="preserve"> te markeren.</w:t>
            </w:r>
          </w:p>
          <w:p w14:paraId="76BD3974" w14:textId="3BE05D28" w:rsidR="00FA109B" w:rsidRPr="006877D8" w:rsidRDefault="00202F7C" w:rsidP="00FA109B">
            <w:pPr>
              <w:keepNext/>
              <w:numPr>
                <w:ilvl w:val="0"/>
                <w:numId w:val="2"/>
              </w:numPr>
              <w:spacing w:after="20"/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 xml:space="preserve">Duurzame opslag: </w:t>
            </w:r>
            <w:proofErr w:type="spellStart"/>
            <w:r w:rsidR="00FA109B" w:rsidRPr="006877D8">
              <w:rPr>
                <w:sz w:val="20"/>
                <w:szCs w:val="20"/>
              </w:rPr>
              <w:t>eDepot</w:t>
            </w:r>
            <w:proofErr w:type="spellEnd"/>
            <w:r w:rsidR="00FA109B" w:rsidRPr="006877D8">
              <w:rPr>
                <w:sz w:val="20"/>
                <w:szCs w:val="20"/>
              </w:rPr>
              <w:t xml:space="preserve"> </w:t>
            </w:r>
            <w:r w:rsidRPr="006877D8">
              <w:rPr>
                <w:sz w:val="20"/>
                <w:szCs w:val="20"/>
              </w:rPr>
              <w:t>moet de URL weten van de bestanden die gedownload kunnen worden; Om een</w:t>
            </w:r>
            <w:r w:rsidR="00FA109B" w:rsidRPr="006877D8">
              <w:rPr>
                <w:sz w:val="20"/>
                <w:szCs w:val="20"/>
              </w:rPr>
              <w:t xml:space="preserve"> </w:t>
            </w:r>
            <w:proofErr w:type="spellStart"/>
            <w:r w:rsidR="00FA109B" w:rsidRPr="006877D8">
              <w:rPr>
                <w:sz w:val="20"/>
                <w:szCs w:val="20"/>
              </w:rPr>
              <w:t>backup</w:t>
            </w:r>
            <w:proofErr w:type="spellEnd"/>
            <w:r w:rsidR="00FA109B" w:rsidRPr="006877D8">
              <w:rPr>
                <w:sz w:val="20"/>
                <w:szCs w:val="20"/>
              </w:rPr>
              <w:t xml:space="preserve"> locatie</w:t>
            </w:r>
            <w:r w:rsidRPr="006877D8">
              <w:rPr>
                <w:sz w:val="20"/>
                <w:szCs w:val="20"/>
              </w:rPr>
              <w:t xml:space="preserve"> voor duurzame opslag</w:t>
            </w:r>
            <w:r w:rsidR="00FA109B" w:rsidRPr="006877D8">
              <w:rPr>
                <w:sz w:val="20"/>
                <w:szCs w:val="20"/>
              </w:rPr>
              <w:t>.</w:t>
            </w:r>
          </w:p>
          <w:p w14:paraId="21C3F087" w14:textId="39E5F027" w:rsidR="00FA109B" w:rsidRPr="006877D8" w:rsidRDefault="00202F7C" w:rsidP="00202F7C">
            <w:pPr>
              <w:keepNext/>
              <w:numPr>
                <w:ilvl w:val="0"/>
                <w:numId w:val="2"/>
              </w:numPr>
              <w:spacing w:after="20"/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 xml:space="preserve">Duurzame toegang: De nationale </w:t>
            </w:r>
            <w:proofErr w:type="spellStart"/>
            <w:r w:rsidRPr="006877D8">
              <w:rPr>
                <w:sz w:val="20"/>
                <w:szCs w:val="20"/>
              </w:rPr>
              <w:t>resolver</w:t>
            </w:r>
            <w:proofErr w:type="spellEnd"/>
            <w:r w:rsidRPr="006877D8">
              <w:rPr>
                <w:sz w:val="20"/>
                <w:szCs w:val="20"/>
              </w:rPr>
              <w:t xml:space="preserve"> wil weten welke Persistent </w:t>
            </w:r>
            <w:proofErr w:type="spellStart"/>
            <w:r w:rsidRPr="006877D8">
              <w:rPr>
                <w:sz w:val="20"/>
                <w:szCs w:val="20"/>
              </w:rPr>
              <w:t>Identifier</w:t>
            </w:r>
            <w:proofErr w:type="spellEnd"/>
            <w:r w:rsidRPr="006877D8">
              <w:rPr>
                <w:sz w:val="20"/>
                <w:szCs w:val="20"/>
              </w:rPr>
              <w:t xml:space="preserve"> naar welke URL </w:t>
            </w:r>
            <w:proofErr w:type="spellStart"/>
            <w:r w:rsidRPr="006877D8">
              <w:rPr>
                <w:sz w:val="20"/>
                <w:szCs w:val="20"/>
              </w:rPr>
              <w:t>geresolved</w:t>
            </w:r>
            <w:proofErr w:type="spellEnd"/>
            <w:r w:rsidRPr="006877D8">
              <w:rPr>
                <w:sz w:val="20"/>
                <w:szCs w:val="20"/>
              </w:rPr>
              <w:t xml:space="preserve"> kan worden.  </w:t>
            </w:r>
          </w:p>
        </w:tc>
        <w:tc>
          <w:tcPr>
            <w:tcW w:w="2016" w:type="dxa"/>
          </w:tcPr>
          <w:p w14:paraId="74EF3DE9" w14:textId="227FFAFF" w:rsidR="00FA109B" w:rsidRPr="006877D8" w:rsidRDefault="00FA109B" w:rsidP="000432EF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MPEG21-DIDL</w:t>
            </w:r>
          </w:p>
        </w:tc>
      </w:tr>
      <w:tr w:rsidR="00202F7C" w:rsidRPr="006877D8" w14:paraId="56F86468" w14:textId="77777777" w:rsidTr="006877D8">
        <w:tc>
          <w:tcPr>
            <w:tcW w:w="7196" w:type="dxa"/>
          </w:tcPr>
          <w:p w14:paraId="339BBA90" w14:textId="63FB1A02" w:rsidR="00202F7C" w:rsidRPr="006877D8" w:rsidRDefault="00202F7C" w:rsidP="009D1A47">
            <w:pPr>
              <w:keepNext/>
              <w:numPr>
                <w:ilvl w:val="0"/>
                <w:numId w:val="2"/>
              </w:numPr>
              <w:spacing w:after="20"/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 xml:space="preserve">Duurzame toegang: </w:t>
            </w:r>
            <w:r w:rsidR="009D1A47" w:rsidRPr="006877D8">
              <w:rPr>
                <w:sz w:val="20"/>
                <w:szCs w:val="20"/>
              </w:rPr>
              <w:t>door de tijd heen op</w:t>
            </w:r>
            <w:r w:rsidRPr="006877D8">
              <w:rPr>
                <w:sz w:val="20"/>
                <w:szCs w:val="20"/>
              </w:rPr>
              <w:t xml:space="preserve"> drift geraakte publicaties</w:t>
            </w:r>
            <w:r w:rsidR="009D1A47" w:rsidRPr="006877D8">
              <w:rPr>
                <w:sz w:val="20"/>
                <w:szCs w:val="20"/>
              </w:rPr>
              <w:t xml:space="preserve"> </w:t>
            </w:r>
            <w:r w:rsidRPr="006877D8">
              <w:rPr>
                <w:sz w:val="20"/>
                <w:szCs w:val="20"/>
              </w:rPr>
              <w:t xml:space="preserve">moeten </w:t>
            </w:r>
            <w:r w:rsidR="009D1A47" w:rsidRPr="006877D8">
              <w:rPr>
                <w:sz w:val="20"/>
                <w:szCs w:val="20"/>
              </w:rPr>
              <w:t>ten alle tijden opgevraagd kunnen worden, nu en in de toekomst. Ongeacht het opslagmedium, ongeacht server technologie, ongeacht het resolutiemechanisme,</w:t>
            </w:r>
          </w:p>
        </w:tc>
        <w:tc>
          <w:tcPr>
            <w:tcW w:w="2016" w:type="dxa"/>
          </w:tcPr>
          <w:p w14:paraId="7851034C" w14:textId="7DDD49E4" w:rsidR="00202F7C" w:rsidRPr="006877D8" w:rsidRDefault="009D1A47" w:rsidP="000432EF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URN:NBN</w:t>
            </w:r>
          </w:p>
        </w:tc>
      </w:tr>
      <w:tr w:rsidR="009D1A47" w:rsidRPr="006877D8" w14:paraId="5C4A0D1D" w14:textId="77777777" w:rsidTr="0068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6" w:type="dxa"/>
          </w:tcPr>
          <w:p w14:paraId="5856EB1D" w14:textId="5C837421" w:rsidR="009D1A47" w:rsidRPr="006877D8" w:rsidRDefault="009D1A47" w:rsidP="009D1A47">
            <w:pPr>
              <w:keepNext/>
              <w:numPr>
                <w:ilvl w:val="0"/>
                <w:numId w:val="2"/>
              </w:numPr>
              <w:spacing w:after="20"/>
              <w:rPr>
                <w:sz w:val="20"/>
                <w:szCs w:val="20"/>
              </w:rPr>
            </w:pPr>
            <w:proofErr w:type="spellStart"/>
            <w:r w:rsidRPr="006877D8">
              <w:rPr>
                <w:sz w:val="20"/>
                <w:szCs w:val="20"/>
              </w:rPr>
              <w:t>Disambigueren</w:t>
            </w:r>
            <w:proofErr w:type="spellEnd"/>
            <w:r w:rsidRPr="006877D8">
              <w:rPr>
                <w:sz w:val="20"/>
                <w:szCs w:val="20"/>
              </w:rPr>
              <w:t xml:space="preserve"> en identificeren van gebruikte termen, begrippen en concepten.</w:t>
            </w:r>
          </w:p>
        </w:tc>
        <w:tc>
          <w:tcPr>
            <w:tcW w:w="2016" w:type="dxa"/>
          </w:tcPr>
          <w:p w14:paraId="19869D37" w14:textId="2DF108A7" w:rsidR="009D1A47" w:rsidRPr="006877D8" w:rsidRDefault="009D1A47" w:rsidP="000432EF">
            <w:pPr>
              <w:rPr>
                <w:sz w:val="20"/>
                <w:szCs w:val="20"/>
              </w:rPr>
            </w:pPr>
            <w:proofErr w:type="spellStart"/>
            <w:r w:rsidRPr="006877D8">
              <w:rPr>
                <w:sz w:val="20"/>
                <w:szCs w:val="20"/>
              </w:rPr>
              <w:t>info:eu-repo</w:t>
            </w:r>
            <w:proofErr w:type="spellEnd"/>
          </w:p>
        </w:tc>
      </w:tr>
    </w:tbl>
    <w:p w14:paraId="7D937A40" w14:textId="77777777" w:rsidR="00985D8F" w:rsidRPr="00985D8F" w:rsidRDefault="00985D8F" w:rsidP="00985D8F"/>
    <w:p w14:paraId="0A487A77" w14:textId="0211EDDD" w:rsidR="00220AD6" w:rsidRDefault="00220AD6" w:rsidP="00220AD6"/>
    <w:p w14:paraId="198EEDE4" w14:textId="44D604FD" w:rsidR="006877D8" w:rsidRDefault="006877D8">
      <w:r>
        <w:br w:type="page"/>
      </w:r>
    </w:p>
    <w:p w14:paraId="618A35CD" w14:textId="619B2F83" w:rsidR="00220AD6" w:rsidRDefault="006877D8" w:rsidP="006877D8">
      <w:pPr>
        <w:pStyle w:val="Kop1"/>
      </w:pPr>
      <w:r>
        <w:lastRenderedPageBreak/>
        <w:t>Verklarende woordenlijst</w:t>
      </w:r>
    </w:p>
    <w:p w14:paraId="1EEC12D5" w14:textId="10E8AECE" w:rsidR="006877D8" w:rsidRDefault="006877D8" w:rsidP="006877D8">
      <w:r>
        <w:t>Deze woordenlijst kan als achtergrond gebruikt worden bij het lezen van de kernafspraken.</w:t>
      </w:r>
    </w:p>
    <w:tbl>
      <w:tblPr>
        <w:tblStyle w:val="Lichtearcering"/>
        <w:tblW w:w="0" w:type="auto"/>
        <w:tblLook w:val="0400" w:firstRow="0" w:lastRow="0" w:firstColumn="0" w:lastColumn="0" w:noHBand="0" w:noVBand="1"/>
      </w:tblPr>
      <w:tblGrid>
        <w:gridCol w:w="2765"/>
        <w:gridCol w:w="6307"/>
      </w:tblGrid>
      <w:tr w:rsidR="006877D8" w:rsidRPr="006877D8" w14:paraId="416A893B" w14:textId="77777777" w:rsidTr="0068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02" w:type="dxa"/>
          </w:tcPr>
          <w:p w14:paraId="61D51F32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BIK</w:t>
            </w:r>
          </w:p>
        </w:tc>
        <w:tc>
          <w:tcPr>
            <w:tcW w:w="6378" w:type="dxa"/>
          </w:tcPr>
          <w:p w14:paraId="481AAE7C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Beleidsgroep Informatie- en Kennisinfrastructuur. Een groep aangesteld door het platformbestuur om advies te geven op het gebied van beleid met betrekking tot de Informatie- en Kennisinfrastructuur.</w:t>
            </w:r>
          </w:p>
          <w:p w14:paraId="42A4A569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De individuele leden van de BIK kunnen mensen/middelen beschikbaar stellen die nodig zijn bij de uitvoer van het project.</w:t>
            </w:r>
          </w:p>
        </w:tc>
      </w:tr>
      <w:tr w:rsidR="006877D8" w:rsidRPr="006877D8" w14:paraId="4B5C249B" w14:textId="77777777" w:rsidTr="006877D8">
        <w:trPr>
          <w:cantSplit/>
        </w:trPr>
        <w:tc>
          <w:tcPr>
            <w:tcW w:w="2802" w:type="dxa"/>
          </w:tcPr>
          <w:p w14:paraId="2F1F7F57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Convenant</w:t>
            </w:r>
          </w:p>
        </w:tc>
        <w:tc>
          <w:tcPr>
            <w:tcW w:w="6378" w:type="dxa"/>
          </w:tcPr>
          <w:p w14:paraId="6664FD73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Verklaring van de WO- en HBO-kennisketendeelnemers dat het WO- en HBO-</w:t>
            </w:r>
            <w:proofErr w:type="spellStart"/>
            <w:r w:rsidRPr="006877D8">
              <w:rPr>
                <w:sz w:val="20"/>
                <w:szCs w:val="20"/>
              </w:rPr>
              <w:t>kernafsprakenpakket</w:t>
            </w:r>
            <w:proofErr w:type="spellEnd"/>
            <w:r w:rsidRPr="006877D8">
              <w:rPr>
                <w:sz w:val="20"/>
                <w:szCs w:val="20"/>
              </w:rPr>
              <w:t xml:space="preserve">, dat bij </w:t>
            </w:r>
            <w:proofErr w:type="spellStart"/>
            <w:r w:rsidRPr="006877D8">
              <w:rPr>
                <w:sz w:val="20"/>
                <w:szCs w:val="20"/>
              </w:rPr>
              <w:t>EduStandaard</w:t>
            </w:r>
            <w:proofErr w:type="spellEnd"/>
            <w:r w:rsidRPr="006877D8">
              <w:rPr>
                <w:sz w:val="20"/>
                <w:szCs w:val="20"/>
              </w:rPr>
              <w:t xml:space="preserve"> in beheer is gebracht, zal worden geïmplementeerd.</w:t>
            </w:r>
          </w:p>
        </w:tc>
      </w:tr>
      <w:tr w:rsidR="006877D8" w:rsidRPr="006877D8" w14:paraId="3D2B47C5" w14:textId="77777777" w:rsidTr="0068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02" w:type="dxa"/>
          </w:tcPr>
          <w:p w14:paraId="28F52381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Dataproducent</w:t>
            </w:r>
          </w:p>
        </w:tc>
        <w:tc>
          <w:tcPr>
            <w:tcW w:w="6378" w:type="dxa"/>
          </w:tcPr>
          <w:p w14:paraId="5F5FD37E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 xml:space="preserve">WO- en </w:t>
            </w:r>
            <w:proofErr w:type="spellStart"/>
            <w:r w:rsidRPr="006877D8">
              <w:rPr>
                <w:sz w:val="20"/>
                <w:szCs w:val="20"/>
              </w:rPr>
              <w:t>HBO-instellingen</w:t>
            </w:r>
            <w:proofErr w:type="spellEnd"/>
            <w:r w:rsidRPr="006877D8">
              <w:rPr>
                <w:sz w:val="20"/>
                <w:szCs w:val="20"/>
              </w:rPr>
              <w:t xml:space="preserve"> die geregistreerd staan bij de </w:t>
            </w:r>
            <w:proofErr w:type="spellStart"/>
            <w:r w:rsidRPr="006877D8">
              <w:rPr>
                <w:sz w:val="20"/>
                <w:szCs w:val="20"/>
              </w:rPr>
              <w:t>Registration</w:t>
            </w:r>
            <w:proofErr w:type="spellEnd"/>
            <w:r w:rsidRPr="006877D8">
              <w:rPr>
                <w:sz w:val="20"/>
                <w:szCs w:val="20"/>
              </w:rPr>
              <w:t xml:space="preserve"> Agency voor de uitgifte van URN:NBN:NL-</w:t>
            </w:r>
            <w:proofErr w:type="spellStart"/>
            <w:r w:rsidRPr="006877D8">
              <w:rPr>
                <w:sz w:val="20"/>
                <w:szCs w:val="20"/>
              </w:rPr>
              <w:t>namespaces</w:t>
            </w:r>
            <w:proofErr w:type="spellEnd"/>
            <w:r w:rsidRPr="006877D8">
              <w:rPr>
                <w:sz w:val="20"/>
                <w:szCs w:val="20"/>
              </w:rPr>
              <w:t xml:space="preserve"> (KB)</w:t>
            </w:r>
          </w:p>
          <w:p w14:paraId="7A417B7C" w14:textId="77777777" w:rsidR="006877D8" w:rsidRPr="006877D8" w:rsidRDefault="000902A2" w:rsidP="00625525">
            <w:pPr>
              <w:rPr>
                <w:sz w:val="20"/>
                <w:szCs w:val="20"/>
              </w:rPr>
            </w:pPr>
            <w:hyperlink r:id="rId14" w:history="1">
              <w:r w:rsidR="006877D8" w:rsidRPr="006877D8">
                <w:rPr>
                  <w:rStyle w:val="Hyperlink"/>
                  <w:sz w:val="20"/>
                  <w:szCs w:val="20"/>
                </w:rPr>
                <w:t>http://www.kb.nl/hrd/registrationagency/catalog.html</w:t>
              </w:r>
            </w:hyperlink>
          </w:p>
        </w:tc>
      </w:tr>
      <w:tr w:rsidR="006877D8" w:rsidRPr="006877D8" w14:paraId="0DA71E2A" w14:textId="77777777" w:rsidTr="006877D8">
        <w:trPr>
          <w:cantSplit/>
        </w:trPr>
        <w:tc>
          <w:tcPr>
            <w:tcW w:w="2802" w:type="dxa"/>
          </w:tcPr>
          <w:p w14:paraId="406D36FE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Gedelegeerd opdrachtgever</w:t>
            </w:r>
          </w:p>
        </w:tc>
        <w:tc>
          <w:tcPr>
            <w:tcW w:w="6378" w:type="dxa"/>
          </w:tcPr>
          <w:p w14:paraId="38E393BA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De persoon die het mandaat heeft gekregen van de opdrachtgever om als gemachtigde op te treden.</w:t>
            </w:r>
          </w:p>
        </w:tc>
      </w:tr>
      <w:tr w:rsidR="006877D8" w:rsidRPr="006877D8" w14:paraId="6B5C7F91" w14:textId="77777777" w:rsidTr="0068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02" w:type="dxa"/>
          </w:tcPr>
          <w:p w14:paraId="5F3CF1B2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Kernteam</w:t>
            </w:r>
          </w:p>
        </w:tc>
        <w:tc>
          <w:tcPr>
            <w:tcW w:w="6378" w:type="dxa"/>
          </w:tcPr>
          <w:p w14:paraId="40111B98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Personen uit de WO- en HBO-kennisketen die ondersteuning bieden aan de projectmanager, betrokken zijn bij het uitvoeren van projectactiviteiten zoals eindredactie werkzaamheden en faseplanningen.</w:t>
            </w:r>
          </w:p>
        </w:tc>
      </w:tr>
      <w:tr w:rsidR="006877D8" w:rsidRPr="006877D8" w14:paraId="619BDDBC" w14:textId="77777777" w:rsidTr="006877D8">
        <w:trPr>
          <w:cantSplit/>
        </w:trPr>
        <w:tc>
          <w:tcPr>
            <w:tcW w:w="2802" w:type="dxa"/>
          </w:tcPr>
          <w:p w14:paraId="5696C659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Opdrachtgever</w:t>
            </w:r>
          </w:p>
        </w:tc>
        <w:tc>
          <w:tcPr>
            <w:tcW w:w="6378" w:type="dxa"/>
          </w:tcPr>
          <w:p w14:paraId="71443B17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De opdrachtgever is de initiatiefnemer en risiconemer van het project, hij is eigenaar van de business case,</w:t>
            </w:r>
            <w:r w:rsidRPr="006877D8" w:rsidDel="008337DA">
              <w:rPr>
                <w:sz w:val="20"/>
                <w:szCs w:val="20"/>
              </w:rPr>
              <w:t xml:space="preserve"> </w:t>
            </w:r>
            <w:r w:rsidRPr="006877D8">
              <w:rPr>
                <w:sz w:val="20"/>
                <w:szCs w:val="20"/>
              </w:rPr>
              <w:t>formuleert de doelstellingen en. verwacht het resultaat.</w:t>
            </w:r>
          </w:p>
        </w:tc>
      </w:tr>
      <w:tr w:rsidR="006877D8" w:rsidRPr="006877D8" w14:paraId="7B19610C" w14:textId="77777777" w:rsidTr="0068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02" w:type="dxa"/>
          </w:tcPr>
          <w:p w14:paraId="33966338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Overdrachtsgroep</w:t>
            </w:r>
          </w:p>
        </w:tc>
        <w:tc>
          <w:tcPr>
            <w:tcW w:w="6378" w:type="dxa"/>
          </w:tcPr>
          <w:p w14:paraId="2B6920BB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 xml:space="preserve">Groep van experts op het gebied van inhoud en technologie, samengesteld uit de WO- en HBO-kennisketen, om een WO- en HBO-kernafspraak bij </w:t>
            </w:r>
            <w:proofErr w:type="spellStart"/>
            <w:r w:rsidRPr="006877D8">
              <w:rPr>
                <w:sz w:val="20"/>
                <w:szCs w:val="20"/>
              </w:rPr>
              <w:t>EduStandaard</w:t>
            </w:r>
            <w:proofErr w:type="spellEnd"/>
            <w:r w:rsidRPr="006877D8">
              <w:rPr>
                <w:sz w:val="20"/>
                <w:szCs w:val="20"/>
              </w:rPr>
              <w:t xml:space="preserve"> in beheer te brengen.</w:t>
            </w:r>
          </w:p>
        </w:tc>
      </w:tr>
      <w:tr w:rsidR="006877D8" w:rsidRPr="006877D8" w14:paraId="7978F754" w14:textId="77777777" w:rsidTr="006877D8">
        <w:trPr>
          <w:cantSplit/>
        </w:trPr>
        <w:tc>
          <w:tcPr>
            <w:tcW w:w="2802" w:type="dxa"/>
          </w:tcPr>
          <w:p w14:paraId="17AD15A1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Platformbestuur</w:t>
            </w:r>
          </w:p>
        </w:tc>
        <w:tc>
          <w:tcPr>
            <w:tcW w:w="6378" w:type="dxa"/>
          </w:tcPr>
          <w:p w14:paraId="66237629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 xml:space="preserve">Het </w:t>
            </w:r>
            <w:hyperlink r:id="rId15" w:history="1">
              <w:r w:rsidRPr="006877D8">
                <w:rPr>
                  <w:rStyle w:val="Hyperlink"/>
                  <w:sz w:val="20"/>
                  <w:szCs w:val="20"/>
                </w:rPr>
                <w:t>SURF Platformbestuur ICT &amp; Onderzoek</w:t>
              </w:r>
            </w:hyperlink>
            <w:r w:rsidRPr="006877D8">
              <w:rPr>
                <w:sz w:val="20"/>
                <w:szCs w:val="20"/>
              </w:rPr>
              <w:t xml:space="preserve"> nemen bestuurders uit het hoger onderwijs en onderzoek van de instellingen aan deel.</w:t>
            </w:r>
          </w:p>
        </w:tc>
      </w:tr>
      <w:tr w:rsidR="006877D8" w:rsidRPr="006877D8" w14:paraId="73C6831F" w14:textId="77777777" w:rsidTr="0068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02" w:type="dxa"/>
          </w:tcPr>
          <w:p w14:paraId="30B55C0F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Projectmanager</w:t>
            </w:r>
          </w:p>
        </w:tc>
        <w:tc>
          <w:tcPr>
            <w:tcW w:w="6378" w:type="dxa"/>
          </w:tcPr>
          <w:p w14:paraId="38997FBF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Persoon die gemachtigd is door de stuurgroep om mensen en middelen in te zetten bij de uitvoer van het project.</w:t>
            </w:r>
          </w:p>
        </w:tc>
      </w:tr>
      <w:tr w:rsidR="006877D8" w:rsidRPr="006877D8" w14:paraId="6E0F84AD" w14:textId="77777777" w:rsidTr="006877D8">
        <w:trPr>
          <w:cantSplit/>
        </w:trPr>
        <w:tc>
          <w:tcPr>
            <w:tcW w:w="2802" w:type="dxa"/>
          </w:tcPr>
          <w:p w14:paraId="21A13A12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 xml:space="preserve">SIG (Special Interest Group) </w:t>
            </w:r>
            <w:proofErr w:type="spellStart"/>
            <w:r w:rsidRPr="006877D8">
              <w:rPr>
                <w:sz w:val="20"/>
                <w:szCs w:val="20"/>
              </w:rPr>
              <w:t>EduStandaard</w:t>
            </w:r>
            <w:proofErr w:type="spellEnd"/>
            <w:r w:rsidRPr="006877D8">
              <w:rPr>
                <w:sz w:val="20"/>
                <w:szCs w:val="20"/>
              </w:rPr>
              <w:t xml:space="preserve"> Werkgroep</w:t>
            </w:r>
          </w:p>
        </w:tc>
        <w:tc>
          <w:tcPr>
            <w:tcW w:w="6378" w:type="dxa"/>
          </w:tcPr>
          <w:p w14:paraId="413D771E" w14:textId="77777777" w:rsidR="006877D8" w:rsidRPr="006877D8" w:rsidRDefault="000902A2" w:rsidP="00625525">
            <w:pPr>
              <w:rPr>
                <w:sz w:val="20"/>
                <w:szCs w:val="20"/>
              </w:rPr>
            </w:pPr>
            <w:hyperlink r:id="rId16" w:history="1">
              <w:r w:rsidR="006877D8" w:rsidRPr="006877D8">
                <w:rPr>
                  <w:rStyle w:val="Hyperlink"/>
                  <w:sz w:val="20"/>
                  <w:szCs w:val="20"/>
                </w:rPr>
                <w:t xml:space="preserve">Expertgroep binnen </w:t>
              </w:r>
              <w:proofErr w:type="spellStart"/>
              <w:r w:rsidR="006877D8" w:rsidRPr="006877D8">
                <w:rPr>
                  <w:rStyle w:val="Hyperlink"/>
                  <w:sz w:val="20"/>
                  <w:szCs w:val="20"/>
                </w:rPr>
                <w:t>EduStandaard</w:t>
              </w:r>
              <w:proofErr w:type="spellEnd"/>
            </w:hyperlink>
            <w:r w:rsidR="006877D8" w:rsidRPr="006877D8">
              <w:rPr>
                <w:sz w:val="20"/>
                <w:szCs w:val="20"/>
              </w:rPr>
              <w:t xml:space="preserve"> die adviseert over het door </w:t>
            </w:r>
            <w:proofErr w:type="spellStart"/>
            <w:r w:rsidR="006877D8" w:rsidRPr="006877D8">
              <w:rPr>
                <w:sz w:val="20"/>
                <w:szCs w:val="20"/>
              </w:rPr>
              <w:t>EduStandaard</w:t>
            </w:r>
            <w:proofErr w:type="spellEnd"/>
            <w:r w:rsidR="006877D8" w:rsidRPr="006877D8">
              <w:rPr>
                <w:sz w:val="20"/>
                <w:szCs w:val="20"/>
              </w:rPr>
              <w:t xml:space="preserve"> in beheer nemen en wijzigingen op standaarden.</w:t>
            </w:r>
          </w:p>
        </w:tc>
      </w:tr>
      <w:tr w:rsidR="006877D8" w:rsidRPr="006877D8" w14:paraId="31C5AD68" w14:textId="77777777" w:rsidTr="0068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02" w:type="dxa"/>
          </w:tcPr>
          <w:p w14:paraId="6461C553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Standaard</w:t>
            </w:r>
          </w:p>
        </w:tc>
        <w:tc>
          <w:tcPr>
            <w:tcW w:w="6378" w:type="dxa"/>
          </w:tcPr>
          <w:p w14:paraId="15DBF153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Een WO- en HBO-toepassingsprofiel.</w:t>
            </w:r>
          </w:p>
        </w:tc>
      </w:tr>
      <w:tr w:rsidR="006877D8" w:rsidRPr="006877D8" w14:paraId="53E8FE06" w14:textId="77777777" w:rsidTr="006877D8">
        <w:trPr>
          <w:cantSplit/>
        </w:trPr>
        <w:tc>
          <w:tcPr>
            <w:tcW w:w="2802" w:type="dxa"/>
          </w:tcPr>
          <w:p w14:paraId="079A47BA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Stuurgroep</w:t>
            </w:r>
          </w:p>
        </w:tc>
        <w:tc>
          <w:tcPr>
            <w:tcW w:w="6378" w:type="dxa"/>
          </w:tcPr>
          <w:p w14:paraId="44BE4EFC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 xml:space="preserve">De stuurgroep is samengesteld uit vertegenwoordigers van de BIK, WO- en HBO-kennisketen, de Standaardisatieraad en de gedelegeerd opdrachtgever. De stuurgroep moet zorgen voor voldoende mandaat bij de uitvoer van het project. De </w:t>
            </w:r>
            <w:proofErr w:type="spellStart"/>
            <w:r w:rsidRPr="006877D8">
              <w:rPr>
                <w:sz w:val="20"/>
                <w:szCs w:val="20"/>
              </w:rPr>
              <w:t>stuurgroepleden</w:t>
            </w:r>
            <w:proofErr w:type="spellEnd"/>
            <w:r w:rsidRPr="006877D8">
              <w:rPr>
                <w:sz w:val="20"/>
                <w:szCs w:val="20"/>
              </w:rPr>
              <w:t xml:space="preserve"> zijn namens hun vertegenwoordiging gemachtigd tot het nemen van besluiten binnen het project. De stuurgroep is betrokken bij voortgang, </w:t>
            </w:r>
            <w:proofErr w:type="spellStart"/>
            <w:r w:rsidRPr="006877D8">
              <w:rPr>
                <w:sz w:val="20"/>
                <w:szCs w:val="20"/>
              </w:rPr>
              <w:t>fase-overgangen</w:t>
            </w:r>
            <w:proofErr w:type="spellEnd"/>
            <w:r w:rsidRPr="006877D8">
              <w:rPr>
                <w:sz w:val="20"/>
                <w:szCs w:val="20"/>
              </w:rPr>
              <w:t xml:space="preserve"> en besluitvorming bij risicobeheersing.</w:t>
            </w:r>
          </w:p>
        </w:tc>
      </w:tr>
      <w:tr w:rsidR="006877D8" w:rsidRPr="006877D8" w14:paraId="0ACCD155" w14:textId="77777777" w:rsidTr="0068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02" w:type="dxa"/>
          </w:tcPr>
          <w:p w14:paraId="2C661C46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Werkafspraak</w:t>
            </w:r>
          </w:p>
        </w:tc>
        <w:tc>
          <w:tcPr>
            <w:tcW w:w="6378" w:type="dxa"/>
          </w:tcPr>
          <w:p w14:paraId="64577914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Overeenkomst tussen de dataproducenten en dienstenleveranciers dat de rechten en plichten beschrijft van beide partijen in de exploitatie van de WO- en HBO-kennisketen. (</w:t>
            </w:r>
            <w:hyperlink r:id="rId17" w:history="1">
              <w:r w:rsidRPr="006877D8">
                <w:rPr>
                  <w:rStyle w:val="Hyperlink"/>
                  <w:sz w:val="20"/>
                  <w:szCs w:val="20"/>
                </w:rPr>
                <w:t>Voorbeeld</w:t>
              </w:r>
            </w:hyperlink>
            <w:r w:rsidRPr="006877D8">
              <w:rPr>
                <w:sz w:val="20"/>
                <w:szCs w:val="20"/>
              </w:rPr>
              <w:t>)</w:t>
            </w:r>
          </w:p>
        </w:tc>
      </w:tr>
      <w:tr w:rsidR="006877D8" w:rsidRPr="006877D8" w14:paraId="3F44D2D9" w14:textId="77777777" w:rsidTr="006877D8">
        <w:trPr>
          <w:cantSplit/>
        </w:trPr>
        <w:tc>
          <w:tcPr>
            <w:tcW w:w="2802" w:type="dxa"/>
          </w:tcPr>
          <w:p w14:paraId="6E874DEB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WO- en HBO-kennisketen</w:t>
            </w:r>
          </w:p>
        </w:tc>
        <w:tc>
          <w:tcPr>
            <w:tcW w:w="6378" w:type="dxa"/>
          </w:tcPr>
          <w:p w14:paraId="57C5185F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 xml:space="preserve">Dataproducenten (instellingen met een </w:t>
            </w:r>
            <w:proofErr w:type="spellStart"/>
            <w:r w:rsidRPr="006877D8">
              <w:rPr>
                <w:sz w:val="20"/>
                <w:szCs w:val="20"/>
              </w:rPr>
              <w:t>repository</w:t>
            </w:r>
            <w:proofErr w:type="spellEnd"/>
            <w:r w:rsidRPr="006877D8">
              <w:rPr>
                <w:sz w:val="20"/>
                <w:szCs w:val="20"/>
              </w:rPr>
              <w:t xml:space="preserve"> en/or CRIS), Dienstenleveranciers (DANS en KB), Eindgebruikers (Onderzoekers).</w:t>
            </w:r>
          </w:p>
        </w:tc>
      </w:tr>
      <w:tr w:rsidR="006877D8" w:rsidRPr="006877D8" w14:paraId="65CC5F86" w14:textId="77777777" w:rsidTr="0068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02" w:type="dxa"/>
          </w:tcPr>
          <w:p w14:paraId="4E599C9B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WO- en HBO-kernafspraak</w:t>
            </w:r>
          </w:p>
        </w:tc>
        <w:tc>
          <w:tcPr>
            <w:tcW w:w="6378" w:type="dxa"/>
          </w:tcPr>
          <w:p w14:paraId="5ED9D4FA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Door het kernteam voor dit project geselecteerd WO- en HBO-toepassingsprofiel dat essentieel is voor de WO- en HBO-kennisketen.</w:t>
            </w:r>
          </w:p>
        </w:tc>
      </w:tr>
      <w:tr w:rsidR="006877D8" w:rsidRPr="006877D8" w14:paraId="06D35875" w14:textId="77777777" w:rsidTr="006877D8">
        <w:trPr>
          <w:cantSplit/>
        </w:trPr>
        <w:tc>
          <w:tcPr>
            <w:tcW w:w="2802" w:type="dxa"/>
          </w:tcPr>
          <w:p w14:paraId="6C797650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WO- en HBO-</w:t>
            </w:r>
            <w:proofErr w:type="spellStart"/>
            <w:r w:rsidRPr="006877D8">
              <w:rPr>
                <w:sz w:val="20"/>
                <w:szCs w:val="20"/>
              </w:rPr>
              <w:t>kernafsprakenpakket</w:t>
            </w:r>
            <w:proofErr w:type="spellEnd"/>
          </w:p>
        </w:tc>
        <w:tc>
          <w:tcPr>
            <w:tcW w:w="6378" w:type="dxa"/>
          </w:tcPr>
          <w:p w14:paraId="0ABCC4B7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De set van WO- en HBO-kernafspraken.</w:t>
            </w:r>
          </w:p>
        </w:tc>
      </w:tr>
      <w:tr w:rsidR="006877D8" w:rsidRPr="006877D8" w14:paraId="06B713A1" w14:textId="77777777" w:rsidTr="0068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02" w:type="dxa"/>
          </w:tcPr>
          <w:p w14:paraId="74F527EA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WO- en HBO-toepassingsprofiel</w:t>
            </w:r>
          </w:p>
        </w:tc>
        <w:tc>
          <w:tcPr>
            <w:tcW w:w="6378" w:type="dxa"/>
          </w:tcPr>
          <w:p w14:paraId="7C092AAC" w14:textId="77777777" w:rsidR="006877D8" w:rsidRPr="006877D8" w:rsidRDefault="006877D8" w:rsidP="00625525">
            <w:pPr>
              <w:rPr>
                <w:sz w:val="20"/>
                <w:szCs w:val="20"/>
              </w:rPr>
            </w:pPr>
            <w:r w:rsidRPr="006877D8">
              <w:rPr>
                <w:sz w:val="20"/>
                <w:szCs w:val="20"/>
              </w:rPr>
              <w:t>WO specifieke implementatie-afspraken die zijn gemaakt voor het gebruik van internationale (technologie)standaarden. Zoals: RFC3188, HTML5, ISO9001, etc. Vastgesteld door internationale organisaties, zoals: W3C, IETF, ISO, etc.</w:t>
            </w:r>
          </w:p>
        </w:tc>
      </w:tr>
    </w:tbl>
    <w:p w14:paraId="197AA3C0" w14:textId="77777777" w:rsidR="006877D8" w:rsidRPr="006877D8" w:rsidRDefault="006877D8" w:rsidP="006877D8"/>
    <w:sectPr w:rsidR="006877D8" w:rsidRPr="00687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22CE"/>
    <w:multiLevelType w:val="hybridMultilevel"/>
    <w:tmpl w:val="016018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25CD0"/>
    <w:multiLevelType w:val="hybridMultilevel"/>
    <w:tmpl w:val="A5425F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69FA"/>
    <w:multiLevelType w:val="hybridMultilevel"/>
    <w:tmpl w:val="AED475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04A6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D6"/>
    <w:rsid w:val="000432EF"/>
    <w:rsid w:val="000902A2"/>
    <w:rsid w:val="00094426"/>
    <w:rsid w:val="001653AE"/>
    <w:rsid w:val="001B4437"/>
    <w:rsid w:val="00202F7C"/>
    <w:rsid w:val="00220AD6"/>
    <w:rsid w:val="00397969"/>
    <w:rsid w:val="005B675C"/>
    <w:rsid w:val="006877D8"/>
    <w:rsid w:val="008B7AD9"/>
    <w:rsid w:val="00985D8F"/>
    <w:rsid w:val="00986A78"/>
    <w:rsid w:val="009D1A47"/>
    <w:rsid w:val="009D4244"/>
    <w:rsid w:val="00C21772"/>
    <w:rsid w:val="00CC7563"/>
    <w:rsid w:val="00E84D7B"/>
    <w:rsid w:val="00FA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0DEE"/>
  <w15:docId w15:val="{5F1D45B4-7C88-4259-A32E-94BDFDBF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D4244"/>
  </w:style>
  <w:style w:type="paragraph" w:styleId="Kop1">
    <w:name w:val="heading 1"/>
    <w:basedOn w:val="Standaard"/>
    <w:next w:val="Standaard"/>
    <w:link w:val="Kop1Char"/>
    <w:uiPriority w:val="9"/>
    <w:qFormat/>
    <w:rsid w:val="009D424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D424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424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424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424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424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424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424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424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D42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D4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0AD6"/>
    <w:rPr>
      <w:rFonts w:ascii="Tahoma" w:hAnsi="Tahoma" w:cs="Tahoma"/>
      <w:sz w:val="16"/>
      <w:szCs w:val="16"/>
    </w:rPr>
  </w:style>
  <w:style w:type="table" w:styleId="Gemiddeldelijst2">
    <w:name w:val="Medium List 2"/>
    <w:basedOn w:val="Standaardtabel"/>
    <w:uiPriority w:val="66"/>
    <w:rsid w:val="00220A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Kop2Char">
    <w:name w:val="Kop 2 Char"/>
    <w:basedOn w:val="Standaardalinea-lettertype"/>
    <w:link w:val="Kop2"/>
    <w:uiPriority w:val="9"/>
    <w:rsid w:val="009D4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9D4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9D4244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42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42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42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42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42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42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D42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4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4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D4244"/>
    <w:rPr>
      <w:b/>
      <w:bCs/>
    </w:rPr>
  </w:style>
  <w:style w:type="character" w:styleId="Nadruk">
    <w:name w:val="Emphasis"/>
    <w:basedOn w:val="Standaardalinea-lettertype"/>
    <w:uiPriority w:val="20"/>
    <w:qFormat/>
    <w:rsid w:val="009D4244"/>
    <w:rPr>
      <w:i/>
      <w:iCs/>
    </w:rPr>
  </w:style>
  <w:style w:type="paragraph" w:styleId="Geenafstand">
    <w:name w:val="No Spacing"/>
    <w:uiPriority w:val="1"/>
    <w:qFormat/>
    <w:rsid w:val="009D424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D424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D424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9D4244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42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4244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9D4244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9D4244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9D4244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9D4244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9D4244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D4244"/>
    <w:pPr>
      <w:outlineLvl w:val="9"/>
    </w:pPr>
  </w:style>
  <w:style w:type="table" w:styleId="Tabelraster">
    <w:name w:val="Table Grid"/>
    <w:basedOn w:val="Standaardtabel"/>
    <w:uiPriority w:val="59"/>
    <w:rsid w:val="00E8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99"/>
    <w:rsid w:val="00E84D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hopg1">
    <w:name w:val="toc 1"/>
    <w:basedOn w:val="Standaard"/>
    <w:next w:val="Standaard"/>
    <w:autoRedefine/>
    <w:uiPriority w:val="39"/>
    <w:unhideWhenUsed/>
    <w:rsid w:val="006877D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tools.ietf.org/html/rfc318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oc.gov/standards/mods/" TargetMode="External"/><Relationship Id="rId17" Type="http://schemas.openxmlformats.org/officeDocument/2006/relationships/hyperlink" Target="http://wiki.surf.nl/display/standards/Werkafspraken+e-Depo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dustandaard.nl/werkgroep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peg.chiariglione.org/standards/mpeg-2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urf.nl/nl/oversurf/bestuurlijke-organisatie/Pages/platform-ict-onderzoek.aspx" TargetMode="External"/><Relationship Id="rId10" Type="http://schemas.openxmlformats.org/officeDocument/2006/relationships/hyperlink" Target="http://www.openarchives.org/OAI/openarchivesprotocol.html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kb.nl/hrd/registrationagency/catalog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DEF0AB8E65645A37BE9CEB53D3A93" ma:contentTypeVersion="1" ma:contentTypeDescription="Een nieuw document maken." ma:contentTypeScope="" ma:versionID="e8d9bd3d915bf164e9cdc43571870a59">
  <xsd:schema xmlns:xsd="http://www.w3.org/2001/XMLSchema" xmlns:xs="http://www.w3.org/2001/XMLSchema" xmlns:p="http://schemas.microsoft.com/office/2006/metadata/properties" xmlns:ns2="12ed33bb-7bde-4b0d-bff3-2fcd980bbc1b" targetNamespace="http://schemas.microsoft.com/office/2006/metadata/properties" ma:root="true" ma:fieldsID="7083db713f8f37fc3c806d4b0414295d" ns2:_="">
    <xsd:import namespace="12ed33bb-7bde-4b0d-bff3-2fcd980bbc1b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33bb-7bde-4b0d-bff3-2fcd980bbc1b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RadioButtons" ma:internalName="Status">
      <xsd:simpleType>
        <xsd:restriction base="dms:Choice">
          <xsd:enumeration value="Concept"/>
          <xsd:enumeration value="Definitie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2ed33bb-7bde-4b0d-bff3-2fcd980bbc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9D3D-F416-4756-B45A-EC77AB9E6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d33bb-7bde-4b0d-bff3-2fcd980bb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19C2D-72DC-4759-A888-93E3845D1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5E00F-19FD-4647-8952-19CF7B64A066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12ed33bb-7bde-4b0d-bff3-2fcd980bbc1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FA85609-D78E-48EA-ACBE-C050DE28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1233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 Vanderfeesten</cp:lastModifiedBy>
  <cp:revision>8</cp:revision>
  <dcterms:created xsi:type="dcterms:W3CDTF">2013-04-10T09:16:00Z</dcterms:created>
  <dcterms:modified xsi:type="dcterms:W3CDTF">2013-05-29T12:50:00Z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0x010100828DEF0AB8E65645A37BE9CEB53D3A93</vt:lpwstr>
  </property>
</Properties>
</file>