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B18" w:rsidRDefault="005E58C0" w:rsidP="00FC50AD">
      <w:pPr>
        <w:pStyle w:val="Titel"/>
        <w:spacing w:after="0" w:line="260" w:lineRule="atLeast"/>
      </w:pPr>
      <w:bookmarkStart w:id="0" w:name="_GoBack"/>
      <w:bookmarkEnd w:id="0"/>
      <w:r>
        <w:t>ROSA</w:t>
      </w:r>
      <w:r w:rsidR="00424149">
        <w:t>-katern</w:t>
      </w:r>
      <w:r>
        <w:t xml:space="preserve"> </w:t>
      </w:r>
    </w:p>
    <w:p w:rsidR="0070202E" w:rsidRDefault="0070202E" w:rsidP="00FC50AD">
      <w:pPr>
        <w:pStyle w:val="Titel"/>
        <w:spacing w:after="0" w:line="260" w:lineRule="atLeast"/>
      </w:pPr>
    </w:p>
    <w:p w:rsidR="00FC1138" w:rsidRDefault="00186273" w:rsidP="00FC50AD">
      <w:pPr>
        <w:pStyle w:val="Titel"/>
        <w:spacing w:after="0" w:line="260" w:lineRule="atLeast"/>
      </w:pPr>
      <w:r>
        <w:t>Kaders voor p</w:t>
      </w:r>
      <w:r w:rsidR="00BE55A1">
        <w:t xml:space="preserve">rivacy en </w:t>
      </w:r>
      <w:r w:rsidR="008B3BF9">
        <w:t>informatie</w:t>
      </w:r>
      <w:r w:rsidR="000B1384">
        <w:t>b</w:t>
      </w:r>
      <w:r w:rsidR="00C83821">
        <w:t>eveiliging</w:t>
      </w:r>
      <w:r w:rsidR="0070202E">
        <w:t xml:space="preserve"> in de onderwijsketen</w:t>
      </w:r>
    </w:p>
    <w:p w:rsidR="00B97B95" w:rsidRDefault="00FB21F6" w:rsidP="00FC50AD">
      <w:pPr>
        <w:spacing w:after="0" w:line="260" w:lineRule="atLeast"/>
        <w:jc w:val="right"/>
        <w:rPr>
          <w:rFonts w:eastAsiaTheme="minorHAnsi"/>
          <w:b/>
          <w:bCs/>
        </w:rPr>
      </w:pPr>
      <w:r>
        <w:rPr>
          <w:rFonts w:eastAsiaTheme="minorHAnsi"/>
          <w:b/>
          <w:bCs/>
        </w:rPr>
        <w:t>Februari</w:t>
      </w:r>
      <w:r w:rsidR="007F6CDF">
        <w:rPr>
          <w:rFonts w:eastAsiaTheme="minorHAnsi"/>
          <w:b/>
          <w:bCs/>
        </w:rPr>
        <w:t xml:space="preserve"> 2015, </w:t>
      </w:r>
      <w:r w:rsidR="00B97B95">
        <w:rPr>
          <w:rFonts w:eastAsiaTheme="minorHAnsi"/>
          <w:b/>
          <w:bCs/>
        </w:rPr>
        <w:t xml:space="preserve">Versie </w:t>
      </w:r>
      <w:r w:rsidR="00673FFA">
        <w:rPr>
          <w:rFonts w:eastAsiaTheme="minorHAnsi"/>
          <w:b/>
          <w:bCs/>
        </w:rPr>
        <w:t>1.</w:t>
      </w:r>
      <w:r w:rsidR="00DA4998">
        <w:rPr>
          <w:rFonts w:eastAsiaTheme="minorHAnsi"/>
          <w:b/>
          <w:bCs/>
        </w:rPr>
        <w:t>0</w:t>
      </w:r>
    </w:p>
    <w:p w:rsidR="00B97B95" w:rsidRDefault="00B97B95" w:rsidP="00FC50AD">
      <w:pPr>
        <w:spacing w:after="0" w:line="260" w:lineRule="atLeast"/>
        <w:rPr>
          <w:rFonts w:eastAsiaTheme="minorHAnsi"/>
        </w:rPr>
      </w:pPr>
      <w:r>
        <w:rPr>
          <w:rFonts w:eastAsiaTheme="minorHAnsi"/>
        </w:rPr>
        <w:br w:type="page"/>
      </w:r>
    </w:p>
    <w:p w:rsidR="00C84178" w:rsidRDefault="00C84178" w:rsidP="00FC50AD">
      <w:pPr>
        <w:spacing w:after="0" w:line="260" w:lineRule="atLeast"/>
        <w:jc w:val="right"/>
        <w:rPr>
          <w:rFonts w:eastAsiaTheme="minorHAnsi"/>
        </w:rPr>
      </w:pPr>
    </w:p>
    <w:sdt>
      <w:sdtPr>
        <w:rPr>
          <w:rFonts w:asciiTheme="minorHAnsi" w:eastAsiaTheme="minorHAnsi" w:hAnsiTheme="minorHAnsi" w:cstheme="minorBidi"/>
          <w:b w:val="0"/>
          <w:bCs w:val="0"/>
          <w:color w:val="auto"/>
          <w:sz w:val="22"/>
          <w:szCs w:val="22"/>
        </w:rPr>
        <w:id w:val="-1855300638"/>
        <w:docPartObj>
          <w:docPartGallery w:val="Table of Contents"/>
          <w:docPartUnique/>
        </w:docPartObj>
      </w:sdtPr>
      <w:sdtEndPr>
        <w:rPr>
          <w:rFonts w:eastAsiaTheme="minorEastAsia"/>
        </w:rPr>
      </w:sdtEndPr>
      <w:sdtContent>
        <w:p w:rsidR="00CC2B1B" w:rsidRDefault="00CC2B1B" w:rsidP="00FC50AD">
          <w:pPr>
            <w:pStyle w:val="Kopvaninhoudsopgave"/>
            <w:spacing w:before="0" w:line="260" w:lineRule="atLeast"/>
          </w:pPr>
          <w:r>
            <w:t>Inhoud</w:t>
          </w:r>
        </w:p>
        <w:p w:rsidR="00891B4D" w:rsidRDefault="00891B4D" w:rsidP="00FC50AD">
          <w:pPr>
            <w:pStyle w:val="Inhopg1"/>
            <w:tabs>
              <w:tab w:val="right" w:leader="dot" w:pos="9062"/>
            </w:tabs>
            <w:spacing w:after="0" w:line="260" w:lineRule="atLeast"/>
          </w:pPr>
        </w:p>
        <w:p w:rsidR="00014CE4" w:rsidRDefault="005413D7">
          <w:pPr>
            <w:pStyle w:val="Inhopg1"/>
            <w:tabs>
              <w:tab w:val="right" w:leader="dot" w:pos="9062"/>
            </w:tabs>
            <w:rPr>
              <w:noProof/>
            </w:rPr>
          </w:pPr>
          <w:r>
            <w:fldChar w:fldCharType="begin"/>
          </w:r>
          <w:r w:rsidR="00232D5D">
            <w:instrText xml:space="preserve"> TOC \o "1-2</w:instrText>
          </w:r>
          <w:r w:rsidR="00CC2B1B">
            <w:instrText xml:space="preserve">" \h \z \u </w:instrText>
          </w:r>
          <w:r>
            <w:fldChar w:fldCharType="separate"/>
          </w:r>
          <w:hyperlink w:anchor="_Toc412100398" w:history="1">
            <w:r w:rsidR="00014CE4" w:rsidRPr="00F80D5C">
              <w:rPr>
                <w:rStyle w:val="Hyperlink"/>
                <w:noProof/>
              </w:rPr>
              <w:t>1.</w:t>
            </w:r>
            <w:r w:rsidR="00581918">
              <w:rPr>
                <w:rStyle w:val="Hyperlink"/>
                <w:noProof/>
              </w:rPr>
              <w:t xml:space="preserve"> </w:t>
            </w:r>
            <w:r w:rsidR="00014CE4" w:rsidRPr="00F80D5C">
              <w:rPr>
                <w:rStyle w:val="Hyperlink"/>
                <w:noProof/>
              </w:rPr>
              <w:t>Inleiding</w:t>
            </w:r>
            <w:r w:rsidR="00014CE4">
              <w:rPr>
                <w:noProof/>
                <w:webHidden/>
              </w:rPr>
              <w:tab/>
            </w:r>
            <w:r w:rsidR="00014CE4">
              <w:rPr>
                <w:noProof/>
                <w:webHidden/>
              </w:rPr>
              <w:fldChar w:fldCharType="begin"/>
            </w:r>
            <w:r w:rsidR="00014CE4">
              <w:rPr>
                <w:noProof/>
                <w:webHidden/>
              </w:rPr>
              <w:instrText xml:space="preserve"> PAGEREF _Toc412100398 \h </w:instrText>
            </w:r>
            <w:r w:rsidR="00014CE4">
              <w:rPr>
                <w:noProof/>
                <w:webHidden/>
              </w:rPr>
            </w:r>
            <w:r w:rsidR="00014CE4">
              <w:rPr>
                <w:noProof/>
                <w:webHidden/>
              </w:rPr>
              <w:fldChar w:fldCharType="separate"/>
            </w:r>
            <w:r w:rsidR="00AF57FD">
              <w:rPr>
                <w:noProof/>
                <w:webHidden/>
              </w:rPr>
              <w:t>3</w:t>
            </w:r>
            <w:r w:rsidR="00014CE4">
              <w:rPr>
                <w:noProof/>
                <w:webHidden/>
              </w:rPr>
              <w:fldChar w:fldCharType="end"/>
            </w:r>
          </w:hyperlink>
        </w:p>
        <w:p w:rsidR="00014CE4" w:rsidRDefault="00834FAA">
          <w:pPr>
            <w:pStyle w:val="Inhopg2"/>
            <w:tabs>
              <w:tab w:val="right" w:leader="dot" w:pos="9062"/>
            </w:tabs>
            <w:rPr>
              <w:noProof/>
            </w:rPr>
          </w:pPr>
          <w:hyperlink w:anchor="_Toc412100399" w:history="1">
            <w:r w:rsidR="00014CE4" w:rsidRPr="00F80D5C">
              <w:rPr>
                <w:rStyle w:val="Hyperlink"/>
                <w:noProof/>
              </w:rPr>
              <w:t>1.1 Aanleiding</w:t>
            </w:r>
            <w:r w:rsidR="00014CE4">
              <w:rPr>
                <w:noProof/>
                <w:webHidden/>
              </w:rPr>
              <w:tab/>
            </w:r>
            <w:r w:rsidR="00014CE4">
              <w:rPr>
                <w:noProof/>
                <w:webHidden/>
              </w:rPr>
              <w:fldChar w:fldCharType="begin"/>
            </w:r>
            <w:r w:rsidR="00014CE4">
              <w:rPr>
                <w:noProof/>
                <w:webHidden/>
              </w:rPr>
              <w:instrText xml:space="preserve"> PAGEREF _Toc412100399 \h </w:instrText>
            </w:r>
            <w:r w:rsidR="00014CE4">
              <w:rPr>
                <w:noProof/>
                <w:webHidden/>
              </w:rPr>
            </w:r>
            <w:r w:rsidR="00014CE4">
              <w:rPr>
                <w:noProof/>
                <w:webHidden/>
              </w:rPr>
              <w:fldChar w:fldCharType="separate"/>
            </w:r>
            <w:r w:rsidR="00AF57FD">
              <w:rPr>
                <w:noProof/>
                <w:webHidden/>
              </w:rPr>
              <w:t>3</w:t>
            </w:r>
            <w:r w:rsidR="00014CE4">
              <w:rPr>
                <w:noProof/>
                <w:webHidden/>
              </w:rPr>
              <w:fldChar w:fldCharType="end"/>
            </w:r>
          </w:hyperlink>
        </w:p>
        <w:p w:rsidR="00014CE4" w:rsidRDefault="00834FAA">
          <w:pPr>
            <w:pStyle w:val="Inhopg2"/>
            <w:tabs>
              <w:tab w:val="right" w:leader="dot" w:pos="9062"/>
            </w:tabs>
            <w:rPr>
              <w:noProof/>
            </w:rPr>
          </w:pPr>
          <w:hyperlink w:anchor="_Toc412100400" w:history="1">
            <w:r w:rsidR="00014CE4" w:rsidRPr="00F80D5C">
              <w:rPr>
                <w:rStyle w:val="Hyperlink"/>
                <w:noProof/>
              </w:rPr>
              <w:t>1.2 Doel</w:t>
            </w:r>
            <w:r w:rsidR="00014CE4">
              <w:rPr>
                <w:noProof/>
                <w:webHidden/>
              </w:rPr>
              <w:tab/>
            </w:r>
            <w:r w:rsidR="00014CE4">
              <w:rPr>
                <w:noProof/>
                <w:webHidden/>
              </w:rPr>
              <w:fldChar w:fldCharType="begin"/>
            </w:r>
            <w:r w:rsidR="00014CE4">
              <w:rPr>
                <w:noProof/>
                <w:webHidden/>
              </w:rPr>
              <w:instrText xml:space="preserve"> PAGEREF _Toc412100400 \h </w:instrText>
            </w:r>
            <w:r w:rsidR="00014CE4">
              <w:rPr>
                <w:noProof/>
                <w:webHidden/>
              </w:rPr>
            </w:r>
            <w:r w:rsidR="00014CE4">
              <w:rPr>
                <w:noProof/>
                <w:webHidden/>
              </w:rPr>
              <w:fldChar w:fldCharType="separate"/>
            </w:r>
            <w:r w:rsidR="00AF57FD">
              <w:rPr>
                <w:noProof/>
                <w:webHidden/>
              </w:rPr>
              <w:t>3</w:t>
            </w:r>
            <w:r w:rsidR="00014CE4">
              <w:rPr>
                <w:noProof/>
                <w:webHidden/>
              </w:rPr>
              <w:fldChar w:fldCharType="end"/>
            </w:r>
          </w:hyperlink>
        </w:p>
        <w:p w:rsidR="00014CE4" w:rsidRDefault="00834FAA">
          <w:pPr>
            <w:pStyle w:val="Inhopg2"/>
            <w:tabs>
              <w:tab w:val="right" w:leader="dot" w:pos="9062"/>
            </w:tabs>
            <w:rPr>
              <w:noProof/>
            </w:rPr>
          </w:pPr>
          <w:hyperlink w:anchor="_Toc412100401" w:history="1">
            <w:r w:rsidR="00014CE4" w:rsidRPr="00F80D5C">
              <w:rPr>
                <w:rStyle w:val="Hyperlink"/>
                <w:noProof/>
              </w:rPr>
              <w:t>1.3 Doelgroep</w:t>
            </w:r>
            <w:r w:rsidR="00014CE4">
              <w:rPr>
                <w:noProof/>
                <w:webHidden/>
              </w:rPr>
              <w:tab/>
            </w:r>
            <w:r w:rsidR="00014CE4">
              <w:rPr>
                <w:noProof/>
                <w:webHidden/>
              </w:rPr>
              <w:fldChar w:fldCharType="begin"/>
            </w:r>
            <w:r w:rsidR="00014CE4">
              <w:rPr>
                <w:noProof/>
                <w:webHidden/>
              </w:rPr>
              <w:instrText xml:space="preserve"> PAGEREF _Toc412100401 \h </w:instrText>
            </w:r>
            <w:r w:rsidR="00014CE4">
              <w:rPr>
                <w:noProof/>
                <w:webHidden/>
              </w:rPr>
            </w:r>
            <w:r w:rsidR="00014CE4">
              <w:rPr>
                <w:noProof/>
                <w:webHidden/>
              </w:rPr>
              <w:fldChar w:fldCharType="separate"/>
            </w:r>
            <w:r w:rsidR="00AF57FD">
              <w:rPr>
                <w:noProof/>
                <w:webHidden/>
              </w:rPr>
              <w:t>4</w:t>
            </w:r>
            <w:r w:rsidR="00014CE4">
              <w:rPr>
                <w:noProof/>
                <w:webHidden/>
              </w:rPr>
              <w:fldChar w:fldCharType="end"/>
            </w:r>
          </w:hyperlink>
        </w:p>
        <w:p w:rsidR="00014CE4" w:rsidRDefault="00834FAA">
          <w:pPr>
            <w:pStyle w:val="Inhopg2"/>
            <w:tabs>
              <w:tab w:val="right" w:leader="dot" w:pos="9062"/>
            </w:tabs>
            <w:rPr>
              <w:noProof/>
            </w:rPr>
          </w:pPr>
          <w:hyperlink w:anchor="_Toc412100402" w:history="1">
            <w:r w:rsidR="00014CE4" w:rsidRPr="00F80D5C">
              <w:rPr>
                <w:rStyle w:val="Hyperlink"/>
                <w:noProof/>
              </w:rPr>
              <w:t>1.4 Opbouw</w:t>
            </w:r>
            <w:r w:rsidR="00014CE4">
              <w:rPr>
                <w:noProof/>
                <w:webHidden/>
              </w:rPr>
              <w:tab/>
            </w:r>
            <w:r w:rsidR="00014CE4">
              <w:rPr>
                <w:noProof/>
                <w:webHidden/>
              </w:rPr>
              <w:fldChar w:fldCharType="begin"/>
            </w:r>
            <w:r w:rsidR="00014CE4">
              <w:rPr>
                <w:noProof/>
                <w:webHidden/>
              </w:rPr>
              <w:instrText xml:space="preserve"> PAGEREF _Toc412100402 \h </w:instrText>
            </w:r>
            <w:r w:rsidR="00014CE4">
              <w:rPr>
                <w:noProof/>
                <w:webHidden/>
              </w:rPr>
            </w:r>
            <w:r w:rsidR="00014CE4">
              <w:rPr>
                <w:noProof/>
                <w:webHidden/>
              </w:rPr>
              <w:fldChar w:fldCharType="separate"/>
            </w:r>
            <w:r w:rsidR="00AF57FD">
              <w:rPr>
                <w:noProof/>
                <w:webHidden/>
              </w:rPr>
              <w:t>4</w:t>
            </w:r>
            <w:r w:rsidR="00014CE4">
              <w:rPr>
                <w:noProof/>
                <w:webHidden/>
              </w:rPr>
              <w:fldChar w:fldCharType="end"/>
            </w:r>
          </w:hyperlink>
        </w:p>
        <w:p w:rsidR="00014CE4" w:rsidRDefault="00834FAA">
          <w:pPr>
            <w:pStyle w:val="Inhopg2"/>
            <w:tabs>
              <w:tab w:val="right" w:leader="dot" w:pos="9062"/>
            </w:tabs>
            <w:rPr>
              <w:noProof/>
            </w:rPr>
          </w:pPr>
          <w:hyperlink w:anchor="_Toc412100403" w:history="1">
            <w:r w:rsidR="00014CE4" w:rsidRPr="00F80D5C">
              <w:rPr>
                <w:rStyle w:val="Hyperlink"/>
                <w:noProof/>
              </w:rPr>
              <w:t>1.5 Verantwoording</w:t>
            </w:r>
            <w:r w:rsidR="00014CE4">
              <w:rPr>
                <w:noProof/>
                <w:webHidden/>
              </w:rPr>
              <w:tab/>
            </w:r>
            <w:r w:rsidR="00014CE4">
              <w:rPr>
                <w:noProof/>
                <w:webHidden/>
              </w:rPr>
              <w:fldChar w:fldCharType="begin"/>
            </w:r>
            <w:r w:rsidR="00014CE4">
              <w:rPr>
                <w:noProof/>
                <w:webHidden/>
              </w:rPr>
              <w:instrText xml:space="preserve"> PAGEREF _Toc412100403 \h </w:instrText>
            </w:r>
            <w:r w:rsidR="00014CE4">
              <w:rPr>
                <w:noProof/>
                <w:webHidden/>
              </w:rPr>
            </w:r>
            <w:r w:rsidR="00014CE4">
              <w:rPr>
                <w:noProof/>
                <w:webHidden/>
              </w:rPr>
              <w:fldChar w:fldCharType="separate"/>
            </w:r>
            <w:r w:rsidR="00AF57FD">
              <w:rPr>
                <w:noProof/>
                <w:webHidden/>
              </w:rPr>
              <w:t>4</w:t>
            </w:r>
            <w:r w:rsidR="00014CE4">
              <w:rPr>
                <w:noProof/>
                <w:webHidden/>
              </w:rPr>
              <w:fldChar w:fldCharType="end"/>
            </w:r>
          </w:hyperlink>
        </w:p>
        <w:p w:rsidR="00014CE4" w:rsidRDefault="00834FAA">
          <w:pPr>
            <w:pStyle w:val="Inhopg2"/>
            <w:tabs>
              <w:tab w:val="right" w:leader="dot" w:pos="9062"/>
            </w:tabs>
            <w:rPr>
              <w:noProof/>
            </w:rPr>
          </w:pPr>
          <w:hyperlink w:anchor="_Toc412100404" w:history="1">
            <w:r w:rsidR="00014CE4" w:rsidRPr="00F80D5C">
              <w:rPr>
                <w:rStyle w:val="Hyperlink"/>
                <w:noProof/>
              </w:rPr>
              <w:t>1.6 Status</w:t>
            </w:r>
            <w:r w:rsidR="00014CE4">
              <w:rPr>
                <w:noProof/>
                <w:webHidden/>
              </w:rPr>
              <w:tab/>
            </w:r>
            <w:r w:rsidR="00014CE4">
              <w:rPr>
                <w:noProof/>
                <w:webHidden/>
              </w:rPr>
              <w:fldChar w:fldCharType="begin"/>
            </w:r>
            <w:r w:rsidR="00014CE4">
              <w:rPr>
                <w:noProof/>
                <w:webHidden/>
              </w:rPr>
              <w:instrText xml:space="preserve"> PAGEREF _Toc412100404 \h </w:instrText>
            </w:r>
            <w:r w:rsidR="00014CE4">
              <w:rPr>
                <w:noProof/>
                <w:webHidden/>
              </w:rPr>
            </w:r>
            <w:r w:rsidR="00014CE4">
              <w:rPr>
                <w:noProof/>
                <w:webHidden/>
              </w:rPr>
              <w:fldChar w:fldCharType="separate"/>
            </w:r>
            <w:r w:rsidR="00AF57FD">
              <w:rPr>
                <w:noProof/>
                <w:webHidden/>
              </w:rPr>
              <w:t>4</w:t>
            </w:r>
            <w:r w:rsidR="00014CE4">
              <w:rPr>
                <w:noProof/>
                <w:webHidden/>
              </w:rPr>
              <w:fldChar w:fldCharType="end"/>
            </w:r>
          </w:hyperlink>
        </w:p>
        <w:p w:rsidR="00014CE4" w:rsidRDefault="00834FAA">
          <w:pPr>
            <w:pStyle w:val="Inhopg1"/>
            <w:tabs>
              <w:tab w:val="right" w:leader="dot" w:pos="9062"/>
            </w:tabs>
            <w:rPr>
              <w:noProof/>
            </w:rPr>
          </w:pPr>
          <w:hyperlink w:anchor="_Toc412100405" w:history="1">
            <w:r w:rsidR="00014CE4" w:rsidRPr="00F80D5C">
              <w:rPr>
                <w:rStyle w:val="Hyperlink"/>
                <w:noProof/>
              </w:rPr>
              <w:t>2. Gemeenschappelijke kaders</w:t>
            </w:r>
            <w:r w:rsidR="00014CE4">
              <w:rPr>
                <w:noProof/>
                <w:webHidden/>
              </w:rPr>
              <w:tab/>
            </w:r>
            <w:r w:rsidR="00014CE4">
              <w:rPr>
                <w:noProof/>
                <w:webHidden/>
              </w:rPr>
              <w:fldChar w:fldCharType="begin"/>
            </w:r>
            <w:r w:rsidR="00014CE4">
              <w:rPr>
                <w:noProof/>
                <w:webHidden/>
              </w:rPr>
              <w:instrText xml:space="preserve"> PAGEREF _Toc412100405 \h </w:instrText>
            </w:r>
            <w:r w:rsidR="00014CE4">
              <w:rPr>
                <w:noProof/>
                <w:webHidden/>
              </w:rPr>
            </w:r>
            <w:r w:rsidR="00014CE4">
              <w:rPr>
                <w:noProof/>
                <w:webHidden/>
              </w:rPr>
              <w:fldChar w:fldCharType="separate"/>
            </w:r>
            <w:r w:rsidR="00AF57FD">
              <w:rPr>
                <w:noProof/>
                <w:webHidden/>
              </w:rPr>
              <w:t>5</w:t>
            </w:r>
            <w:r w:rsidR="00014CE4">
              <w:rPr>
                <w:noProof/>
                <w:webHidden/>
              </w:rPr>
              <w:fldChar w:fldCharType="end"/>
            </w:r>
          </w:hyperlink>
        </w:p>
        <w:p w:rsidR="00014CE4" w:rsidRDefault="00834FAA">
          <w:pPr>
            <w:pStyle w:val="Inhopg2"/>
            <w:tabs>
              <w:tab w:val="right" w:leader="dot" w:pos="9062"/>
            </w:tabs>
            <w:rPr>
              <w:noProof/>
            </w:rPr>
          </w:pPr>
          <w:hyperlink w:anchor="_Toc412100406" w:history="1">
            <w:r w:rsidR="00014CE4" w:rsidRPr="00F80D5C">
              <w:rPr>
                <w:rStyle w:val="Hyperlink"/>
                <w:noProof/>
              </w:rPr>
              <w:t>2.1 Basisniveau privacy en informatiebeveiliging</w:t>
            </w:r>
            <w:r w:rsidR="00014CE4">
              <w:rPr>
                <w:noProof/>
                <w:webHidden/>
              </w:rPr>
              <w:tab/>
            </w:r>
            <w:r w:rsidR="00014CE4">
              <w:rPr>
                <w:noProof/>
                <w:webHidden/>
              </w:rPr>
              <w:fldChar w:fldCharType="begin"/>
            </w:r>
            <w:r w:rsidR="00014CE4">
              <w:rPr>
                <w:noProof/>
                <w:webHidden/>
              </w:rPr>
              <w:instrText xml:space="preserve"> PAGEREF _Toc412100406 \h </w:instrText>
            </w:r>
            <w:r w:rsidR="00014CE4">
              <w:rPr>
                <w:noProof/>
                <w:webHidden/>
              </w:rPr>
            </w:r>
            <w:r w:rsidR="00014CE4">
              <w:rPr>
                <w:noProof/>
                <w:webHidden/>
              </w:rPr>
              <w:fldChar w:fldCharType="separate"/>
            </w:r>
            <w:r w:rsidR="00AF57FD">
              <w:rPr>
                <w:noProof/>
                <w:webHidden/>
              </w:rPr>
              <w:t>5</w:t>
            </w:r>
            <w:r w:rsidR="00014CE4">
              <w:rPr>
                <w:noProof/>
                <w:webHidden/>
              </w:rPr>
              <w:fldChar w:fldCharType="end"/>
            </w:r>
          </w:hyperlink>
        </w:p>
        <w:p w:rsidR="00014CE4" w:rsidRDefault="00834FAA">
          <w:pPr>
            <w:pStyle w:val="Inhopg2"/>
            <w:tabs>
              <w:tab w:val="right" w:leader="dot" w:pos="9062"/>
            </w:tabs>
            <w:rPr>
              <w:noProof/>
            </w:rPr>
          </w:pPr>
          <w:hyperlink w:anchor="_Toc412100407" w:history="1">
            <w:r w:rsidR="00014CE4" w:rsidRPr="00F80D5C">
              <w:rPr>
                <w:rStyle w:val="Hyperlink"/>
                <w:noProof/>
              </w:rPr>
              <w:t>2.2 Additionele kaders</w:t>
            </w:r>
            <w:r w:rsidR="00014CE4">
              <w:rPr>
                <w:noProof/>
                <w:webHidden/>
              </w:rPr>
              <w:tab/>
            </w:r>
            <w:r w:rsidR="00014CE4">
              <w:rPr>
                <w:noProof/>
                <w:webHidden/>
              </w:rPr>
              <w:fldChar w:fldCharType="begin"/>
            </w:r>
            <w:r w:rsidR="00014CE4">
              <w:rPr>
                <w:noProof/>
                <w:webHidden/>
              </w:rPr>
              <w:instrText xml:space="preserve"> PAGEREF _Toc412100407 \h </w:instrText>
            </w:r>
            <w:r w:rsidR="00014CE4">
              <w:rPr>
                <w:noProof/>
                <w:webHidden/>
              </w:rPr>
            </w:r>
            <w:r w:rsidR="00014CE4">
              <w:rPr>
                <w:noProof/>
                <w:webHidden/>
              </w:rPr>
              <w:fldChar w:fldCharType="separate"/>
            </w:r>
            <w:r w:rsidR="00AF57FD">
              <w:rPr>
                <w:noProof/>
                <w:webHidden/>
              </w:rPr>
              <w:t>8</w:t>
            </w:r>
            <w:r w:rsidR="00014CE4">
              <w:rPr>
                <w:noProof/>
                <w:webHidden/>
              </w:rPr>
              <w:fldChar w:fldCharType="end"/>
            </w:r>
          </w:hyperlink>
        </w:p>
        <w:p w:rsidR="00014CE4" w:rsidRDefault="00834FAA">
          <w:pPr>
            <w:pStyle w:val="Inhopg1"/>
            <w:tabs>
              <w:tab w:val="right" w:leader="dot" w:pos="9062"/>
            </w:tabs>
            <w:rPr>
              <w:noProof/>
            </w:rPr>
          </w:pPr>
          <w:hyperlink w:anchor="_Toc412100408" w:history="1">
            <w:r w:rsidR="00014CE4" w:rsidRPr="00F80D5C">
              <w:rPr>
                <w:rStyle w:val="Hyperlink"/>
                <w:noProof/>
              </w:rPr>
              <w:t>3. Toetsingskaders</w:t>
            </w:r>
            <w:r w:rsidR="00014CE4">
              <w:rPr>
                <w:noProof/>
                <w:webHidden/>
              </w:rPr>
              <w:tab/>
            </w:r>
            <w:r w:rsidR="00014CE4">
              <w:rPr>
                <w:noProof/>
                <w:webHidden/>
              </w:rPr>
              <w:fldChar w:fldCharType="begin"/>
            </w:r>
            <w:r w:rsidR="00014CE4">
              <w:rPr>
                <w:noProof/>
                <w:webHidden/>
              </w:rPr>
              <w:instrText xml:space="preserve"> PAGEREF _Toc412100408 \h </w:instrText>
            </w:r>
            <w:r w:rsidR="00014CE4">
              <w:rPr>
                <w:noProof/>
                <w:webHidden/>
              </w:rPr>
            </w:r>
            <w:r w:rsidR="00014CE4">
              <w:rPr>
                <w:noProof/>
                <w:webHidden/>
              </w:rPr>
              <w:fldChar w:fldCharType="separate"/>
            </w:r>
            <w:r w:rsidR="00AF57FD">
              <w:rPr>
                <w:noProof/>
                <w:webHidden/>
              </w:rPr>
              <w:t>9</w:t>
            </w:r>
            <w:r w:rsidR="00014CE4">
              <w:rPr>
                <w:noProof/>
                <w:webHidden/>
              </w:rPr>
              <w:fldChar w:fldCharType="end"/>
            </w:r>
          </w:hyperlink>
        </w:p>
        <w:p w:rsidR="00014CE4" w:rsidRDefault="00834FAA">
          <w:pPr>
            <w:pStyle w:val="Inhopg2"/>
            <w:tabs>
              <w:tab w:val="right" w:leader="dot" w:pos="9062"/>
            </w:tabs>
            <w:rPr>
              <w:noProof/>
            </w:rPr>
          </w:pPr>
          <w:hyperlink w:anchor="_Toc412100409" w:history="1">
            <w:r w:rsidR="00014CE4" w:rsidRPr="00F80D5C">
              <w:rPr>
                <w:rStyle w:val="Hyperlink"/>
                <w:noProof/>
              </w:rPr>
              <w:t>3.1 Toetsingskaders voor Verantwoordelijken</w:t>
            </w:r>
            <w:r w:rsidR="00014CE4">
              <w:rPr>
                <w:noProof/>
                <w:webHidden/>
              </w:rPr>
              <w:tab/>
            </w:r>
            <w:r w:rsidR="00014CE4">
              <w:rPr>
                <w:noProof/>
                <w:webHidden/>
              </w:rPr>
              <w:fldChar w:fldCharType="begin"/>
            </w:r>
            <w:r w:rsidR="00014CE4">
              <w:rPr>
                <w:noProof/>
                <w:webHidden/>
              </w:rPr>
              <w:instrText xml:space="preserve"> PAGEREF _Toc412100409 \h </w:instrText>
            </w:r>
            <w:r w:rsidR="00014CE4">
              <w:rPr>
                <w:noProof/>
                <w:webHidden/>
              </w:rPr>
            </w:r>
            <w:r w:rsidR="00014CE4">
              <w:rPr>
                <w:noProof/>
                <w:webHidden/>
              </w:rPr>
              <w:fldChar w:fldCharType="separate"/>
            </w:r>
            <w:r w:rsidR="00AF57FD">
              <w:rPr>
                <w:noProof/>
                <w:webHidden/>
              </w:rPr>
              <w:t>10</w:t>
            </w:r>
            <w:r w:rsidR="00014CE4">
              <w:rPr>
                <w:noProof/>
                <w:webHidden/>
              </w:rPr>
              <w:fldChar w:fldCharType="end"/>
            </w:r>
          </w:hyperlink>
        </w:p>
        <w:p w:rsidR="00014CE4" w:rsidRDefault="00834FAA">
          <w:pPr>
            <w:pStyle w:val="Inhopg2"/>
            <w:tabs>
              <w:tab w:val="right" w:leader="dot" w:pos="9062"/>
            </w:tabs>
            <w:rPr>
              <w:noProof/>
            </w:rPr>
          </w:pPr>
          <w:hyperlink w:anchor="_Toc412100410" w:history="1">
            <w:r w:rsidR="00014CE4" w:rsidRPr="00F80D5C">
              <w:rPr>
                <w:rStyle w:val="Hyperlink"/>
                <w:noProof/>
              </w:rPr>
              <w:t>3.2 Toetsingskaders voor Bewerkers</w:t>
            </w:r>
            <w:r w:rsidR="00014CE4">
              <w:rPr>
                <w:noProof/>
                <w:webHidden/>
              </w:rPr>
              <w:tab/>
            </w:r>
            <w:r w:rsidR="00014CE4">
              <w:rPr>
                <w:noProof/>
                <w:webHidden/>
              </w:rPr>
              <w:fldChar w:fldCharType="begin"/>
            </w:r>
            <w:r w:rsidR="00014CE4">
              <w:rPr>
                <w:noProof/>
                <w:webHidden/>
              </w:rPr>
              <w:instrText xml:space="preserve"> PAGEREF _Toc412100410 \h </w:instrText>
            </w:r>
            <w:r w:rsidR="00014CE4">
              <w:rPr>
                <w:noProof/>
                <w:webHidden/>
              </w:rPr>
            </w:r>
            <w:r w:rsidR="00014CE4">
              <w:rPr>
                <w:noProof/>
                <w:webHidden/>
              </w:rPr>
              <w:fldChar w:fldCharType="separate"/>
            </w:r>
            <w:r w:rsidR="00AF57FD">
              <w:rPr>
                <w:noProof/>
                <w:webHidden/>
              </w:rPr>
              <w:t>11</w:t>
            </w:r>
            <w:r w:rsidR="00014CE4">
              <w:rPr>
                <w:noProof/>
                <w:webHidden/>
              </w:rPr>
              <w:fldChar w:fldCharType="end"/>
            </w:r>
          </w:hyperlink>
        </w:p>
        <w:p w:rsidR="00014CE4" w:rsidRDefault="00834FAA">
          <w:pPr>
            <w:pStyle w:val="Inhopg1"/>
            <w:tabs>
              <w:tab w:val="right" w:leader="dot" w:pos="9062"/>
            </w:tabs>
            <w:rPr>
              <w:noProof/>
            </w:rPr>
          </w:pPr>
          <w:hyperlink w:anchor="_Toc412100411" w:history="1">
            <w:r w:rsidR="00014CE4" w:rsidRPr="00F80D5C">
              <w:rPr>
                <w:rStyle w:val="Hyperlink"/>
                <w:noProof/>
              </w:rPr>
              <w:t>Bijlage: Begrippenlijst</w:t>
            </w:r>
            <w:r w:rsidR="00014CE4">
              <w:rPr>
                <w:noProof/>
                <w:webHidden/>
              </w:rPr>
              <w:tab/>
            </w:r>
            <w:r w:rsidR="00014CE4">
              <w:rPr>
                <w:noProof/>
                <w:webHidden/>
              </w:rPr>
              <w:fldChar w:fldCharType="begin"/>
            </w:r>
            <w:r w:rsidR="00014CE4">
              <w:rPr>
                <w:noProof/>
                <w:webHidden/>
              </w:rPr>
              <w:instrText xml:space="preserve"> PAGEREF _Toc412100411 \h </w:instrText>
            </w:r>
            <w:r w:rsidR="00014CE4">
              <w:rPr>
                <w:noProof/>
                <w:webHidden/>
              </w:rPr>
            </w:r>
            <w:r w:rsidR="00014CE4">
              <w:rPr>
                <w:noProof/>
                <w:webHidden/>
              </w:rPr>
              <w:fldChar w:fldCharType="separate"/>
            </w:r>
            <w:r w:rsidR="00AF57FD">
              <w:rPr>
                <w:noProof/>
                <w:webHidden/>
              </w:rPr>
              <w:t>12</w:t>
            </w:r>
            <w:r w:rsidR="00014CE4">
              <w:rPr>
                <w:noProof/>
                <w:webHidden/>
              </w:rPr>
              <w:fldChar w:fldCharType="end"/>
            </w:r>
          </w:hyperlink>
        </w:p>
        <w:p w:rsidR="00014CE4" w:rsidRDefault="00834FAA">
          <w:pPr>
            <w:pStyle w:val="Inhopg1"/>
            <w:tabs>
              <w:tab w:val="right" w:leader="dot" w:pos="9062"/>
            </w:tabs>
            <w:rPr>
              <w:noProof/>
            </w:rPr>
          </w:pPr>
          <w:hyperlink w:anchor="_Toc412100412" w:history="1">
            <w:r w:rsidR="00014CE4" w:rsidRPr="00F80D5C">
              <w:rPr>
                <w:rStyle w:val="Hyperlink"/>
                <w:noProof/>
              </w:rPr>
              <w:t>Bijlage: Normenkaders</w:t>
            </w:r>
            <w:r w:rsidR="00014CE4">
              <w:rPr>
                <w:noProof/>
                <w:webHidden/>
              </w:rPr>
              <w:tab/>
            </w:r>
            <w:r w:rsidR="00014CE4">
              <w:rPr>
                <w:noProof/>
                <w:webHidden/>
              </w:rPr>
              <w:fldChar w:fldCharType="begin"/>
            </w:r>
            <w:r w:rsidR="00014CE4">
              <w:rPr>
                <w:noProof/>
                <w:webHidden/>
              </w:rPr>
              <w:instrText xml:space="preserve"> PAGEREF _Toc412100412 \h </w:instrText>
            </w:r>
            <w:r w:rsidR="00014CE4">
              <w:rPr>
                <w:noProof/>
                <w:webHidden/>
              </w:rPr>
            </w:r>
            <w:r w:rsidR="00014CE4">
              <w:rPr>
                <w:noProof/>
                <w:webHidden/>
              </w:rPr>
              <w:fldChar w:fldCharType="separate"/>
            </w:r>
            <w:r w:rsidR="00AF57FD">
              <w:rPr>
                <w:noProof/>
                <w:webHidden/>
              </w:rPr>
              <w:t>14</w:t>
            </w:r>
            <w:r w:rsidR="00014CE4">
              <w:rPr>
                <w:noProof/>
                <w:webHidden/>
              </w:rPr>
              <w:fldChar w:fldCharType="end"/>
            </w:r>
          </w:hyperlink>
        </w:p>
        <w:p w:rsidR="00014CE4" w:rsidRDefault="00834FAA">
          <w:pPr>
            <w:pStyle w:val="Inhopg1"/>
            <w:tabs>
              <w:tab w:val="right" w:leader="dot" w:pos="9062"/>
            </w:tabs>
            <w:rPr>
              <w:noProof/>
            </w:rPr>
          </w:pPr>
          <w:hyperlink w:anchor="_Toc412100413" w:history="1">
            <w:r w:rsidR="00014CE4" w:rsidRPr="00F80D5C">
              <w:rPr>
                <w:rStyle w:val="Hyperlink"/>
                <w:noProof/>
              </w:rPr>
              <w:t>Bijlage: Methodiek voor formuleren kaders</w:t>
            </w:r>
            <w:r w:rsidR="00014CE4">
              <w:rPr>
                <w:noProof/>
                <w:webHidden/>
              </w:rPr>
              <w:tab/>
            </w:r>
            <w:r w:rsidR="00014CE4">
              <w:rPr>
                <w:noProof/>
                <w:webHidden/>
              </w:rPr>
              <w:fldChar w:fldCharType="begin"/>
            </w:r>
            <w:r w:rsidR="00014CE4">
              <w:rPr>
                <w:noProof/>
                <w:webHidden/>
              </w:rPr>
              <w:instrText xml:space="preserve"> PAGEREF _Toc412100413 \h </w:instrText>
            </w:r>
            <w:r w:rsidR="00014CE4">
              <w:rPr>
                <w:noProof/>
                <w:webHidden/>
              </w:rPr>
            </w:r>
            <w:r w:rsidR="00014CE4">
              <w:rPr>
                <w:noProof/>
                <w:webHidden/>
              </w:rPr>
              <w:fldChar w:fldCharType="separate"/>
            </w:r>
            <w:r w:rsidR="00AF57FD">
              <w:rPr>
                <w:noProof/>
                <w:webHidden/>
              </w:rPr>
              <w:t>16</w:t>
            </w:r>
            <w:r w:rsidR="00014CE4">
              <w:rPr>
                <w:noProof/>
                <w:webHidden/>
              </w:rPr>
              <w:fldChar w:fldCharType="end"/>
            </w:r>
          </w:hyperlink>
        </w:p>
        <w:p w:rsidR="00014CE4" w:rsidRDefault="00834FAA">
          <w:pPr>
            <w:pStyle w:val="Inhopg1"/>
            <w:tabs>
              <w:tab w:val="right" w:leader="dot" w:pos="9062"/>
            </w:tabs>
            <w:rPr>
              <w:noProof/>
            </w:rPr>
          </w:pPr>
          <w:hyperlink w:anchor="_Toc412100417" w:history="1">
            <w:r w:rsidR="00014CE4" w:rsidRPr="00F80D5C">
              <w:rPr>
                <w:rStyle w:val="Hyperlink"/>
                <w:noProof/>
              </w:rPr>
              <w:t>Bijlage: Doelstellingen uit ISO/IEC 27001/27002</w:t>
            </w:r>
            <w:r w:rsidR="00014CE4">
              <w:rPr>
                <w:noProof/>
                <w:webHidden/>
              </w:rPr>
              <w:tab/>
            </w:r>
            <w:r w:rsidR="00014CE4">
              <w:rPr>
                <w:noProof/>
                <w:webHidden/>
              </w:rPr>
              <w:fldChar w:fldCharType="begin"/>
            </w:r>
            <w:r w:rsidR="00014CE4">
              <w:rPr>
                <w:noProof/>
                <w:webHidden/>
              </w:rPr>
              <w:instrText xml:space="preserve"> PAGEREF _Toc412100417 \h </w:instrText>
            </w:r>
            <w:r w:rsidR="00014CE4">
              <w:rPr>
                <w:noProof/>
                <w:webHidden/>
              </w:rPr>
            </w:r>
            <w:r w:rsidR="00014CE4">
              <w:rPr>
                <w:noProof/>
                <w:webHidden/>
              </w:rPr>
              <w:fldChar w:fldCharType="separate"/>
            </w:r>
            <w:r w:rsidR="00AF57FD">
              <w:rPr>
                <w:noProof/>
                <w:webHidden/>
              </w:rPr>
              <w:t>20</w:t>
            </w:r>
            <w:r w:rsidR="00014CE4">
              <w:rPr>
                <w:noProof/>
                <w:webHidden/>
              </w:rPr>
              <w:fldChar w:fldCharType="end"/>
            </w:r>
          </w:hyperlink>
        </w:p>
        <w:p w:rsidR="00CC2B1B" w:rsidRDefault="005413D7" w:rsidP="00FC50AD">
          <w:pPr>
            <w:spacing w:after="0" w:line="260" w:lineRule="atLeast"/>
          </w:pPr>
          <w:r>
            <w:fldChar w:fldCharType="end"/>
          </w:r>
        </w:p>
      </w:sdtContent>
    </w:sdt>
    <w:p w:rsidR="00B82DD2" w:rsidRDefault="00B82DD2" w:rsidP="00FC50AD">
      <w:pPr>
        <w:spacing w:after="0" w:line="260" w:lineRule="atLeast"/>
      </w:pPr>
    </w:p>
    <w:p w:rsidR="00C84178" w:rsidRDefault="00C84178" w:rsidP="00FC50AD">
      <w:pPr>
        <w:spacing w:after="0" w:line="260" w:lineRule="atLeast"/>
        <w:rPr>
          <w:rFonts w:asciiTheme="majorHAnsi" w:eastAsiaTheme="majorEastAsia" w:hAnsiTheme="majorHAnsi" w:cstheme="majorBidi"/>
          <w:b/>
          <w:bCs/>
          <w:color w:val="365F91" w:themeColor="accent1" w:themeShade="BF"/>
          <w:sz w:val="28"/>
          <w:szCs w:val="28"/>
        </w:rPr>
      </w:pPr>
      <w:r>
        <w:br w:type="page"/>
      </w:r>
    </w:p>
    <w:p w:rsidR="00C84178" w:rsidRDefault="00C84178" w:rsidP="00FC50AD">
      <w:pPr>
        <w:pStyle w:val="Kop1"/>
        <w:spacing w:before="0" w:line="260" w:lineRule="atLeast"/>
      </w:pPr>
      <w:bookmarkStart w:id="1" w:name="_Toc410767889"/>
      <w:bookmarkStart w:id="2" w:name="_Toc410923379"/>
      <w:bookmarkStart w:id="3" w:name="_Toc412100398"/>
      <w:r>
        <w:lastRenderedPageBreak/>
        <w:t>1.</w:t>
      </w:r>
      <w:r w:rsidR="00581918">
        <w:t xml:space="preserve"> </w:t>
      </w:r>
      <w:r>
        <w:t>Inleiding</w:t>
      </w:r>
      <w:bookmarkEnd w:id="1"/>
      <w:bookmarkEnd w:id="2"/>
      <w:bookmarkEnd w:id="3"/>
      <w:r>
        <w:t xml:space="preserve"> </w:t>
      </w:r>
    </w:p>
    <w:p w:rsidR="00CD129D" w:rsidRDefault="00CD129D" w:rsidP="00FC50AD">
      <w:pPr>
        <w:pStyle w:val="Kop2"/>
        <w:spacing w:before="0" w:line="260" w:lineRule="atLeast"/>
      </w:pPr>
    </w:p>
    <w:p w:rsidR="00BE55A1" w:rsidRDefault="00C84178" w:rsidP="00FC50AD">
      <w:pPr>
        <w:pStyle w:val="Kop2"/>
        <w:spacing w:before="0" w:line="260" w:lineRule="atLeast"/>
      </w:pPr>
      <w:bookmarkStart w:id="4" w:name="_Toc410767890"/>
      <w:bookmarkStart w:id="5" w:name="_Toc410923380"/>
      <w:bookmarkStart w:id="6" w:name="_Toc412100399"/>
      <w:r>
        <w:t xml:space="preserve">1.1 </w:t>
      </w:r>
      <w:r w:rsidR="009C7826">
        <w:t>Aanleiding</w:t>
      </w:r>
      <w:bookmarkEnd w:id="4"/>
      <w:bookmarkEnd w:id="5"/>
      <w:bookmarkEnd w:id="6"/>
      <w:r w:rsidR="009E2803">
        <w:t xml:space="preserve"> </w:t>
      </w:r>
    </w:p>
    <w:p w:rsidR="00735094" w:rsidRDefault="00D86213" w:rsidP="00FC50AD">
      <w:pPr>
        <w:spacing w:after="0" w:line="260" w:lineRule="atLeast"/>
        <w:rPr>
          <w:bCs/>
        </w:rPr>
      </w:pPr>
      <w:r>
        <w:rPr>
          <w:bCs/>
        </w:rPr>
        <w:t>I</w:t>
      </w:r>
      <w:r w:rsidR="00E11CD0">
        <w:rPr>
          <w:bCs/>
        </w:rPr>
        <w:t xml:space="preserve">n het onderwijsdomein </w:t>
      </w:r>
      <w:r>
        <w:rPr>
          <w:bCs/>
        </w:rPr>
        <w:t>wordt op allerlei</w:t>
      </w:r>
      <w:r w:rsidR="00E11CD0">
        <w:rPr>
          <w:bCs/>
        </w:rPr>
        <w:t xml:space="preserve"> manieren samen</w:t>
      </w:r>
      <w:r>
        <w:rPr>
          <w:bCs/>
        </w:rPr>
        <w:t>gewerkt</w:t>
      </w:r>
      <w:r w:rsidR="00E11CD0">
        <w:rPr>
          <w:bCs/>
        </w:rPr>
        <w:t>. Mede door deze steeds intensiever wordende ketensamenwerking verloopt de</w:t>
      </w:r>
      <w:r w:rsidR="003C39FD">
        <w:rPr>
          <w:bCs/>
        </w:rPr>
        <w:t xml:space="preserve"> informatiehuishouding binnen het onderwijs </w:t>
      </w:r>
      <w:r w:rsidR="00E11CD0">
        <w:rPr>
          <w:bCs/>
        </w:rPr>
        <w:t xml:space="preserve">meer </w:t>
      </w:r>
      <w:r w:rsidR="00007BB9">
        <w:rPr>
          <w:bCs/>
        </w:rPr>
        <w:t xml:space="preserve">en </w:t>
      </w:r>
      <w:r w:rsidR="00B62E73">
        <w:rPr>
          <w:bCs/>
        </w:rPr>
        <w:t xml:space="preserve">meer digitaal. </w:t>
      </w:r>
      <w:r w:rsidR="00982584">
        <w:rPr>
          <w:bCs/>
        </w:rPr>
        <w:t xml:space="preserve">In combinatie met aanscherpende wet- en regelgeving, een </w:t>
      </w:r>
      <w:r w:rsidR="00D35106">
        <w:rPr>
          <w:bCs/>
        </w:rPr>
        <w:t>toenemend</w:t>
      </w:r>
      <w:r w:rsidR="00982584">
        <w:rPr>
          <w:bCs/>
        </w:rPr>
        <w:t xml:space="preserve"> </w:t>
      </w:r>
      <w:proofErr w:type="spellStart"/>
      <w:r w:rsidR="00982584">
        <w:rPr>
          <w:bCs/>
        </w:rPr>
        <w:t>privacybewustzijn</w:t>
      </w:r>
      <w:proofErr w:type="spellEnd"/>
      <w:r w:rsidR="00982584">
        <w:rPr>
          <w:bCs/>
        </w:rPr>
        <w:t xml:space="preserve"> in de maatschappij, en de wil vanuit het onderwijs om </w:t>
      </w:r>
      <w:r w:rsidR="0023785A">
        <w:rPr>
          <w:bCs/>
        </w:rPr>
        <w:t>de zaken</w:t>
      </w:r>
      <w:r w:rsidR="00982584">
        <w:rPr>
          <w:bCs/>
        </w:rPr>
        <w:t xml:space="preserve"> goed te regelen leidt dat tot een </w:t>
      </w:r>
      <w:r w:rsidR="00B62E73">
        <w:rPr>
          <w:bCs/>
        </w:rPr>
        <w:t>groei</w:t>
      </w:r>
      <w:r w:rsidR="00007BB9">
        <w:rPr>
          <w:bCs/>
        </w:rPr>
        <w:t>ende</w:t>
      </w:r>
      <w:r w:rsidR="00B62E73">
        <w:rPr>
          <w:bCs/>
        </w:rPr>
        <w:t xml:space="preserve"> </w:t>
      </w:r>
      <w:r w:rsidR="001B3611">
        <w:rPr>
          <w:bCs/>
        </w:rPr>
        <w:t>behoefte</w:t>
      </w:r>
      <w:r w:rsidR="001B3611" w:rsidRPr="009C7826">
        <w:rPr>
          <w:bCs/>
        </w:rPr>
        <w:t xml:space="preserve"> </w:t>
      </w:r>
      <w:r w:rsidR="003C39FD" w:rsidRPr="009C7826">
        <w:rPr>
          <w:bCs/>
        </w:rPr>
        <w:t>om op een verantwoorde en betrouwbare wijze gegevens te gebruiken en uit te wisselen</w:t>
      </w:r>
      <w:r w:rsidR="00B516DD">
        <w:rPr>
          <w:bCs/>
        </w:rPr>
        <w:t xml:space="preserve">. </w:t>
      </w:r>
    </w:p>
    <w:p w:rsidR="00FB21F6" w:rsidRDefault="00FB21F6" w:rsidP="00FC50AD">
      <w:pPr>
        <w:spacing w:after="0" w:line="260" w:lineRule="atLeast"/>
        <w:rPr>
          <w:bCs/>
        </w:rPr>
      </w:pPr>
    </w:p>
    <w:p w:rsidR="00735094" w:rsidRDefault="00D86213" w:rsidP="00FC50AD">
      <w:pPr>
        <w:spacing w:after="0" w:line="260" w:lineRule="atLeast"/>
        <w:rPr>
          <w:bCs/>
        </w:rPr>
      </w:pPr>
      <w:r>
        <w:rPr>
          <w:bCs/>
        </w:rPr>
        <w:t xml:space="preserve">Wanneer de betrouwbaarheid van de informatievoorziening onvoldoende </w:t>
      </w:r>
      <w:r w:rsidR="005A39B4">
        <w:rPr>
          <w:bCs/>
        </w:rPr>
        <w:t>kan</w:t>
      </w:r>
      <w:r w:rsidR="00735094" w:rsidRPr="00735094">
        <w:rPr>
          <w:bCs/>
        </w:rPr>
        <w:t xml:space="preserve"> worden</w:t>
      </w:r>
      <w:r>
        <w:rPr>
          <w:bCs/>
        </w:rPr>
        <w:t xml:space="preserve"> </w:t>
      </w:r>
      <w:r w:rsidR="00DB2073">
        <w:rPr>
          <w:bCs/>
        </w:rPr>
        <w:t>gewaarborgd</w:t>
      </w:r>
      <w:r w:rsidR="006016C3">
        <w:rPr>
          <w:bCs/>
        </w:rPr>
        <w:t>,</w:t>
      </w:r>
      <w:r w:rsidR="00735094" w:rsidRPr="00735094">
        <w:rPr>
          <w:bCs/>
        </w:rPr>
        <w:t xml:space="preserve"> dan brengt dat risico’s met zich mee</w:t>
      </w:r>
      <w:r w:rsidR="008214FB">
        <w:rPr>
          <w:bCs/>
        </w:rPr>
        <w:t xml:space="preserve"> </w:t>
      </w:r>
      <w:r w:rsidR="00F74C24">
        <w:rPr>
          <w:bCs/>
        </w:rPr>
        <w:t>op het gebied van informatiebeveiliging en privacybescherming</w:t>
      </w:r>
      <w:r w:rsidR="00735094" w:rsidRPr="00735094">
        <w:rPr>
          <w:bCs/>
        </w:rPr>
        <w:t>.</w:t>
      </w:r>
      <w:r w:rsidR="00FB21F6">
        <w:rPr>
          <w:bCs/>
        </w:rPr>
        <w:t xml:space="preserve"> P</w:t>
      </w:r>
      <w:r w:rsidR="00FB21F6" w:rsidRPr="00735094">
        <w:rPr>
          <w:bCs/>
        </w:rPr>
        <w:t xml:space="preserve">ublicaties </w:t>
      </w:r>
      <w:r w:rsidR="00FB21F6">
        <w:rPr>
          <w:bCs/>
        </w:rPr>
        <w:t xml:space="preserve">in 2014 </w:t>
      </w:r>
      <w:r w:rsidR="00FB21F6" w:rsidRPr="00735094">
        <w:rPr>
          <w:bCs/>
        </w:rPr>
        <w:t>van SURF (Cyberdreigingsbeeld sector hoger onderwijs en wetenschappelijk onderzoek) en PWC (</w:t>
      </w:r>
      <w:r w:rsidR="007F7F90">
        <w:rPr>
          <w:bCs/>
        </w:rPr>
        <w:t>N</w:t>
      </w:r>
      <w:r w:rsidR="00FB21F6" w:rsidRPr="00735094">
        <w:rPr>
          <w:bCs/>
        </w:rPr>
        <w:t>ulmeting privacy beveiliging primair en voortgezet onderwijs) geven aan dat deze risico’s voor alle onderwijssectoren in Nederland gelden</w:t>
      </w:r>
      <w:r w:rsidR="00753AE7">
        <w:rPr>
          <w:bCs/>
        </w:rPr>
        <w:t>. W</w:t>
      </w:r>
      <w:r w:rsidR="00FB21F6" w:rsidRPr="00735094">
        <w:rPr>
          <w:bCs/>
        </w:rPr>
        <w:t xml:space="preserve">eliswaar </w:t>
      </w:r>
      <w:r w:rsidR="00753AE7">
        <w:rPr>
          <w:bCs/>
        </w:rPr>
        <w:t xml:space="preserve">zijn sommige </w:t>
      </w:r>
      <w:r w:rsidR="00FB21F6" w:rsidRPr="00735094">
        <w:rPr>
          <w:bCs/>
        </w:rPr>
        <w:t>privacy</w:t>
      </w:r>
      <w:r w:rsidR="0037100F">
        <w:rPr>
          <w:bCs/>
        </w:rPr>
        <w:t>-</w:t>
      </w:r>
      <w:r w:rsidR="00FB21F6" w:rsidRPr="00735094">
        <w:rPr>
          <w:bCs/>
        </w:rPr>
        <w:t xml:space="preserve"> en informatiebeveiligingsrisico’s</w:t>
      </w:r>
      <w:r w:rsidR="00753AE7">
        <w:rPr>
          <w:bCs/>
        </w:rPr>
        <w:t xml:space="preserve"> sectorspecifiek</w:t>
      </w:r>
      <w:r w:rsidR="00FB21F6" w:rsidRPr="00735094">
        <w:rPr>
          <w:bCs/>
        </w:rPr>
        <w:t xml:space="preserve">, maar </w:t>
      </w:r>
      <w:r w:rsidR="00753AE7">
        <w:rPr>
          <w:bCs/>
        </w:rPr>
        <w:t xml:space="preserve">veel </w:t>
      </w:r>
      <w:r w:rsidR="00FB21F6" w:rsidRPr="00735094">
        <w:rPr>
          <w:bCs/>
        </w:rPr>
        <w:t xml:space="preserve">risico’s </w:t>
      </w:r>
      <w:r w:rsidR="006352F9">
        <w:rPr>
          <w:bCs/>
        </w:rPr>
        <w:t>gelden</w:t>
      </w:r>
      <w:r w:rsidR="00753AE7">
        <w:rPr>
          <w:bCs/>
        </w:rPr>
        <w:t xml:space="preserve"> </w:t>
      </w:r>
      <w:r w:rsidR="00FB21F6" w:rsidRPr="00735094">
        <w:rPr>
          <w:bCs/>
        </w:rPr>
        <w:t>voor alle onderwijssectoren.</w:t>
      </w:r>
      <w:r w:rsidR="00735094" w:rsidRPr="00735094">
        <w:rPr>
          <w:bCs/>
        </w:rPr>
        <w:t xml:space="preserve"> </w:t>
      </w:r>
      <w:r w:rsidR="00FB21F6">
        <w:rPr>
          <w:bCs/>
        </w:rPr>
        <w:t xml:space="preserve">Deze risico's kunnen </w:t>
      </w:r>
      <w:r w:rsidR="00735094" w:rsidRPr="00735094">
        <w:rPr>
          <w:bCs/>
        </w:rPr>
        <w:t>leiden tot diverse vormen van schade of beschadiging</w:t>
      </w:r>
      <w:r w:rsidR="00FB21F6">
        <w:rPr>
          <w:bCs/>
        </w:rPr>
        <w:t>:</w:t>
      </w:r>
    </w:p>
    <w:p w:rsidR="00FB21F6" w:rsidRDefault="00FB21F6" w:rsidP="00FC50AD">
      <w:pPr>
        <w:spacing w:after="0" w:line="260" w:lineRule="atLeast"/>
        <w:rPr>
          <w:bCs/>
        </w:rPr>
      </w:pPr>
    </w:p>
    <w:p w:rsidR="00F36A84" w:rsidRDefault="00F36A84" w:rsidP="00FC50AD">
      <w:pPr>
        <w:spacing w:after="0" w:line="260" w:lineRule="atLeast"/>
        <w:rPr>
          <w:bCs/>
        </w:rPr>
      </w:pPr>
      <w:r>
        <w:rPr>
          <w:bCs/>
        </w:rPr>
        <w:t>Voor de sector:</w:t>
      </w:r>
    </w:p>
    <w:p w:rsidR="00EA0F76" w:rsidRDefault="00F36A84" w:rsidP="00F36A84">
      <w:pPr>
        <w:pStyle w:val="Lijstalinea"/>
        <w:numPr>
          <w:ilvl w:val="0"/>
          <w:numId w:val="41"/>
        </w:numPr>
        <w:spacing w:after="0" w:line="260" w:lineRule="atLeast"/>
        <w:rPr>
          <w:bCs/>
        </w:rPr>
      </w:pPr>
      <w:r w:rsidRPr="00EA0F76">
        <w:rPr>
          <w:bCs/>
        </w:rPr>
        <w:t xml:space="preserve">afnemend vertrouwen in verstrekte diploma's </w:t>
      </w:r>
    </w:p>
    <w:p w:rsidR="00F36A84" w:rsidRPr="00EA0F76" w:rsidRDefault="00F36A84" w:rsidP="00F36A84">
      <w:pPr>
        <w:pStyle w:val="Lijstalinea"/>
        <w:numPr>
          <w:ilvl w:val="0"/>
          <w:numId w:val="41"/>
        </w:numPr>
        <w:spacing w:after="0" w:line="260" w:lineRule="atLeast"/>
        <w:rPr>
          <w:bCs/>
        </w:rPr>
      </w:pPr>
      <w:r w:rsidRPr="00EA0F76">
        <w:rPr>
          <w:bCs/>
        </w:rPr>
        <w:t>dalend vertrouwen in 'het onderwijs' door afstraling van privacy- en beveiligingsincidenten op een hele onderwijssector;</w:t>
      </w:r>
    </w:p>
    <w:p w:rsidR="00F36A84" w:rsidRDefault="00F36A84" w:rsidP="00FC50AD">
      <w:pPr>
        <w:spacing w:after="0" w:line="260" w:lineRule="atLeast"/>
        <w:rPr>
          <w:bCs/>
        </w:rPr>
      </w:pPr>
    </w:p>
    <w:p w:rsidR="007D7CF4" w:rsidRDefault="007D7CF4" w:rsidP="00FC50AD">
      <w:pPr>
        <w:spacing w:after="0" w:line="260" w:lineRule="atLeast"/>
        <w:rPr>
          <w:bCs/>
        </w:rPr>
      </w:pPr>
      <w:r>
        <w:rPr>
          <w:bCs/>
        </w:rPr>
        <w:t xml:space="preserve">Voor de </w:t>
      </w:r>
      <w:r w:rsidR="00A335EC">
        <w:rPr>
          <w:bCs/>
        </w:rPr>
        <w:t>onderwijs</w:t>
      </w:r>
      <w:r>
        <w:rPr>
          <w:bCs/>
        </w:rPr>
        <w:t>instelling:</w:t>
      </w:r>
    </w:p>
    <w:p w:rsidR="007D7CF4" w:rsidRDefault="005467E8" w:rsidP="00FC50AD">
      <w:pPr>
        <w:pStyle w:val="Lijstalinea"/>
        <w:numPr>
          <w:ilvl w:val="0"/>
          <w:numId w:val="16"/>
        </w:numPr>
        <w:spacing w:after="0" w:line="260" w:lineRule="atLeast"/>
        <w:rPr>
          <w:bCs/>
        </w:rPr>
      </w:pPr>
      <w:r>
        <w:rPr>
          <w:bCs/>
        </w:rPr>
        <w:t>b</w:t>
      </w:r>
      <w:r w:rsidR="007D7CF4">
        <w:rPr>
          <w:bCs/>
        </w:rPr>
        <w:t xml:space="preserve">oetes </w:t>
      </w:r>
      <w:r>
        <w:rPr>
          <w:bCs/>
        </w:rPr>
        <w:t>wegens het overtreden van</w:t>
      </w:r>
      <w:r w:rsidR="007D7CF4">
        <w:rPr>
          <w:bCs/>
        </w:rPr>
        <w:t xml:space="preserve"> wet- en regelgeving;</w:t>
      </w:r>
    </w:p>
    <w:p w:rsidR="007D7CF4" w:rsidRDefault="005467E8" w:rsidP="00FC50AD">
      <w:pPr>
        <w:pStyle w:val="Lijstalinea"/>
        <w:numPr>
          <w:ilvl w:val="0"/>
          <w:numId w:val="16"/>
        </w:numPr>
        <w:spacing w:after="0" w:line="260" w:lineRule="atLeast"/>
        <w:rPr>
          <w:bCs/>
        </w:rPr>
      </w:pPr>
      <w:r>
        <w:rPr>
          <w:bCs/>
        </w:rPr>
        <w:t>i</w:t>
      </w:r>
      <w:r w:rsidR="007D7CF4">
        <w:rPr>
          <w:bCs/>
        </w:rPr>
        <w:t>magoschade, met als gevolg dalende leerlingaantallen en gederfde inkomsten;</w:t>
      </w:r>
    </w:p>
    <w:p w:rsidR="007D7CF4" w:rsidRDefault="005467E8" w:rsidP="00FC50AD">
      <w:pPr>
        <w:pStyle w:val="Lijstalinea"/>
        <w:numPr>
          <w:ilvl w:val="0"/>
          <w:numId w:val="16"/>
        </w:numPr>
        <w:spacing w:after="0" w:line="260" w:lineRule="atLeast"/>
        <w:rPr>
          <w:bCs/>
        </w:rPr>
      </w:pPr>
      <w:r>
        <w:rPr>
          <w:bCs/>
        </w:rPr>
        <w:t>v</w:t>
      </w:r>
      <w:r w:rsidR="007D7CF4">
        <w:rPr>
          <w:bCs/>
        </w:rPr>
        <w:t>erstoorde onderwijs(logistieke) processen door</w:t>
      </w:r>
      <w:r>
        <w:rPr>
          <w:bCs/>
        </w:rPr>
        <w:t xml:space="preserve">dat </w:t>
      </w:r>
      <w:r w:rsidR="007D7CF4">
        <w:rPr>
          <w:bCs/>
        </w:rPr>
        <w:t xml:space="preserve">gegevens </w:t>
      </w:r>
      <w:r>
        <w:rPr>
          <w:bCs/>
        </w:rPr>
        <w:t xml:space="preserve">niet kloppen </w:t>
      </w:r>
      <w:r w:rsidR="007D7CF4">
        <w:rPr>
          <w:bCs/>
        </w:rPr>
        <w:t xml:space="preserve">of </w:t>
      </w:r>
      <w:r>
        <w:rPr>
          <w:bCs/>
        </w:rPr>
        <w:t xml:space="preserve">doordat </w:t>
      </w:r>
      <w:r w:rsidR="007D7CF4">
        <w:rPr>
          <w:bCs/>
        </w:rPr>
        <w:t>processen</w:t>
      </w:r>
      <w:r>
        <w:rPr>
          <w:bCs/>
        </w:rPr>
        <w:t xml:space="preserve"> niet goed verlopen</w:t>
      </w:r>
      <w:r w:rsidR="007D7CF4">
        <w:rPr>
          <w:bCs/>
        </w:rPr>
        <w:t>;</w:t>
      </w:r>
    </w:p>
    <w:p w:rsidR="007D7CF4" w:rsidRDefault="005467E8" w:rsidP="00FC50AD">
      <w:pPr>
        <w:pStyle w:val="Lijstalinea"/>
        <w:numPr>
          <w:ilvl w:val="0"/>
          <w:numId w:val="16"/>
        </w:numPr>
        <w:spacing w:after="0" w:line="260" w:lineRule="atLeast"/>
        <w:rPr>
          <w:bCs/>
        </w:rPr>
      </w:pPr>
      <w:r>
        <w:rPr>
          <w:bCs/>
        </w:rPr>
        <w:t>g</w:t>
      </w:r>
      <w:r w:rsidR="007D7CF4">
        <w:rPr>
          <w:bCs/>
        </w:rPr>
        <w:t>ederfde inkomsten door bekostiging op grond van onjuiste gegevens;</w:t>
      </w:r>
    </w:p>
    <w:p w:rsidR="007D7CF4" w:rsidRDefault="005467E8" w:rsidP="00FC50AD">
      <w:pPr>
        <w:pStyle w:val="Lijstalinea"/>
        <w:numPr>
          <w:ilvl w:val="0"/>
          <w:numId w:val="16"/>
        </w:numPr>
        <w:spacing w:after="0" w:line="260" w:lineRule="atLeast"/>
        <w:rPr>
          <w:bCs/>
        </w:rPr>
      </w:pPr>
      <w:r>
        <w:rPr>
          <w:bCs/>
        </w:rPr>
        <w:t>e</w:t>
      </w:r>
      <w:r w:rsidR="007D7CF4">
        <w:rPr>
          <w:bCs/>
        </w:rPr>
        <w:t>xtra administratieve lasten door verscherpt toezicht;</w:t>
      </w:r>
    </w:p>
    <w:p w:rsidR="007D7CF4" w:rsidRDefault="005467E8" w:rsidP="00FC50AD">
      <w:pPr>
        <w:pStyle w:val="Lijstalinea"/>
        <w:numPr>
          <w:ilvl w:val="0"/>
          <w:numId w:val="16"/>
        </w:numPr>
        <w:spacing w:after="0" w:line="260" w:lineRule="atLeast"/>
        <w:rPr>
          <w:bCs/>
        </w:rPr>
      </w:pPr>
      <w:r>
        <w:rPr>
          <w:bCs/>
        </w:rPr>
        <w:t>e</w:t>
      </w:r>
      <w:r w:rsidR="007D7CF4">
        <w:rPr>
          <w:bCs/>
        </w:rPr>
        <w:t>xtra administratieve lasten en/of boetes als gevolg van juridische geschillen.</w:t>
      </w:r>
    </w:p>
    <w:p w:rsidR="002725F1" w:rsidRPr="002725F1" w:rsidRDefault="002725F1" w:rsidP="00FC50AD">
      <w:pPr>
        <w:spacing w:after="0" w:line="260" w:lineRule="atLeast"/>
        <w:rPr>
          <w:bCs/>
        </w:rPr>
      </w:pPr>
    </w:p>
    <w:p w:rsidR="007D7CF4" w:rsidRDefault="007D7CF4" w:rsidP="00FC50AD">
      <w:pPr>
        <w:spacing w:after="0" w:line="260" w:lineRule="atLeast"/>
        <w:rPr>
          <w:bCs/>
        </w:rPr>
      </w:pPr>
      <w:r>
        <w:rPr>
          <w:bCs/>
        </w:rPr>
        <w:t>Voor de onderwijsvolger:</w:t>
      </w:r>
    </w:p>
    <w:p w:rsidR="007D7CF4" w:rsidRDefault="005467E8" w:rsidP="00FC50AD">
      <w:pPr>
        <w:pStyle w:val="Lijstalinea"/>
        <w:numPr>
          <w:ilvl w:val="0"/>
          <w:numId w:val="17"/>
        </w:numPr>
        <w:spacing w:after="0" w:line="260" w:lineRule="atLeast"/>
        <w:rPr>
          <w:bCs/>
        </w:rPr>
      </w:pPr>
      <w:r>
        <w:rPr>
          <w:bCs/>
        </w:rPr>
        <w:t>v</w:t>
      </w:r>
      <w:r w:rsidR="007D7CF4">
        <w:rPr>
          <w:bCs/>
        </w:rPr>
        <w:t>erlies aan zelfstandigheid, bijvoorbeeld door beperking van de mo</w:t>
      </w:r>
      <w:r w:rsidR="002725F1">
        <w:rPr>
          <w:bCs/>
        </w:rPr>
        <w:t>gelijkheid om handelingen uit te voeren: onder toezicht</w:t>
      </w:r>
      <w:r>
        <w:rPr>
          <w:bCs/>
        </w:rPr>
        <w:t>stelling</w:t>
      </w:r>
      <w:r w:rsidR="002725F1">
        <w:rPr>
          <w:bCs/>
        </w:rPr>
        <w:t>, ouderlijke inmenging, uit-huis-plaatsing;</w:t>
      </w:r>
    </w:p>
    <w:p w:rsidR="002725F1" w:rsidRDefault="005467E8" w:rsidP="00FC50AD">
      <w:pPr>
        <w:pStyle w:val="Lijstalinea"/>
        <w:numPr>
          <w:ilvl w:val="0"/>
          <w:numId w:val="17"/>
        </w:numPr>
        <w:spacing w:after="0" w:line="260" w:lineRule="atLeast"/>
        <w:rPr>
          <w:bCs/>
        </w:rPr>
      </w:pPr>
      <w:r>
        <w:rPr>
          <w:bCs/>
        </w:rPr>
        <w:t>s</w:t>
      </w:r>
      <w:r w:rsidR="002725F1">
        <w:rPr>
          <w:bCs/>
        </w:rPr>
        <w:t>tigmatisering, bijvoorbeeld op een bepaalde manier behandeld worden op basis van bepaalde kenmerken: dommerik, hulpbehoevend, beperkt, kampbewoner;</w:t>
      </w:r>
    </w:p>
    <w:p w:rsidR="002725F1" w:rsidRDefault="005467E8" w:rsidP="00FC50AD">
      <w:pPr>
        <w:pStyle w:val="Lijstalinea"/>
        <w:numPr>
          <w:ilvl w:val="0"/>
          <w:numId w:val="17"/>
        </w:numPr>
        <w:spacing w:after="0" w:line="260" w:lineRule="atLeast"/>
        <w:rPr>
          <w:bCs/>
        </w:rPr>
      </w:pPr>
      <w:r>
        <w:rPr>
          <w:bCs/>
        </w:rPr>
        <w:t>ongelijke behandeling</w:t>
      </w:r>
      <w:r w:rsidR="002725F1">
        <w:rPr>
          <w:bCs/>
        </w:rPr>
        <w:t>, bijvoorbeeld in verband met achtergrond of land van herkomst;</w:t>
      </w:r>
    </w:p>
    <w:p w:rsidR="002725F1" w:rsidRDefault="005467E8" w:rsidP="00FC50AD">
      <w:pPr>
        <w:pStyle w:val="Lijstalinea"/>
        <w:numPr>
          <w:ilvl w:val="0"/>
          <w:numId w:val="17"/>
        </w:numPr>
        <w:spacing w:after="0" w:line="260" w:lineRule="atLeast"/>
        <w:rPr>
          <w:bCs/>
        </w:rPr>
      </w:pPr>
      <w:r>
        <w:rPr>
          <w:bCs/>
        </w:rPr>
        <w:t>b</w:t>
      </w:r>
      <w:r w:rsidR="002725F1">
        <w:rPr>
          <w:bCs/>
        </w:rPr>
        <w:t>eperking van bewegingsvrijheid, bijvoorbeeld beperkt worden in de toegang tot bepaalde gebieden, etablissementen of ruimtes op basis van gedragingen;</w:t>
      </w:r>
    </w:p>
    <w:p w:rsidR="002725F1" w:rsidRDefault="005467E8" w:rsidP="00FC50AD">
      <w:pPr>
        <w:pStyle w:val="Lijstalinea"/>
        <w:numPr>
          <w:ilvl w:val="0"/>
          <w:numId w:val="17"/>
        </w:numPr>
        <w:spacing w:after="0" w:line="260" w:lineRule="atLeast"/>
        <w:rPr>
          <w:bCs/>
        </w:rPr>
      </w:pPr>
      <w:r>
        <w:rPr>
          <w:bCs/>
        </w:rPr>
        <w:t>o</w:t>
      </w:r>
      <w:r w:rsidR="002725F1">
        <w:rPr>
          <w:bCs/>
        </w:rPr>
        <w:t>ngewenst vindbaar zijn, bijvoorbeeld door uit de ouderlijke macht gezette ouders.</w:t>
      </w:r>
    </w:p>
    <w:p w:rsidR="002725F1" w:rsidRPr="002725F1" w:rsidRDefault="002725F1" w:rsidP="00FC50AD">
      <w:pPr>
        <w:spacing w:after="0" w:line="260" w:lineRule="atLeast"/>
        <w:rPr>
          <w:bCs/>
        </w:rPr>
      </w:pPr>
    </w:p>
    <w:p w:rsidR="00C84178" w:rsidRDefault="008C7125" w:rsidP="00FC50AD">
      <w:pPr>
        <w:spacing w:after="0" w:line="260" w:lineRule="atLeast"/>
        <w:rPr>
          <w:bCs/>
        </w:rPr>
      </w:pPr>
      <w:r>
        <w:rPr>
          <w:bCs/>
        </w:rPr>
        <w:t xml:space="preserve">Om deze risico's af te dekken moeten onderwijsinstellingen met andere ketenpartijen dus </w:t>
      </w:r>
      <w:r w:rsidR="00C14038">
        <w:rPr>
          <w:bCs/>
        </w:rPr>
        <w:t xml:space="preserve">samenhangende </w:t>
      </w:r>
      <w:r w:rsidR="00782C7B">
        <w:rPr>
          <w:bCs/>
        </w:rPr>
        <w:t xml:space="preserve">maatregelen </w:t>
      </w:r>
      <w:r>
        <w:rPr>
          <w:bCs/>
        </w:rPr>
        <w:t xml:space="preserve">nemen die zorgen </w:t>
      </w:r>
      <w:r w:rsidR="00782C7B">
        <w:rPr>
          <w:bCs/>
        </w:rPr>
        <w:t xml:space="preserve">voor </w:t>
      </w:r>
      <w:r w:rsidR="00DA48EA">
        <w:rPr>
          <w:bCs/>
        </w:rPr>
        <w:t>veilig</w:t>
      </w:r>
      <w:r w:rsidR="002725F1">
        <w:rPr>
          <w:bCs/>
        </w:rPr>
        <w:t xml:space="preserve"> gebruik van - vaak privacygevoelige -</w:t>
      </w:r>
      <w:r w:rsidR="00DA48EA">
        <w:rPr>
          <w:bCs/>
        </w:rPr>
        <w:t xml:space="preserve"> gegevens</w:t>
      </w:r>
      <w:r>
        <w:rPr>
          <w:bCs/>
        </w:rPr>
        <w:t>.</w:t>
      </w:r>
      <w:r w:rsidR="00DA48EA">
        <w:rPr>
          <w:bCs/>
        </w:rPr>
        <w:t xml:space="preserve"> Het is daarom </w:t>
      </w:r>
      <w:r>
        <w:rPr>
          <w:bCs/>
        </w:rPr>
        <w:t xml:space="preserve">belangrijk </w:t>
      </w:r>
      <w:r w:rsidR="00DA48EA">
        <w:rPr>
          <w:bCs/>
        </w:rPr>
        <w:t>dat er kennis gedeeld wordt e</w:t>
      </w:r>
      <w:r w:rsidR="008B6563">
        <w:rPr>
          <w:bCs/>
        </w:rPr>
        <w:t xml:space="preserve">n </w:t>
      </w:r>
      <w:r>
        <w:rPr>
          <w:bCs/>
        </w:rPr>
        <w:t xml:space="preserve">dat </w:t>
      </w:r>
      <w:r w:rsidR="008B6563">
        <w:rPr>
          <w:bCs/>
        </w:rPr>
        <w:t xml:space="preserve">ketenpartijen </w:t>
      </w:r>
      <w:r>
        <w:rPr>
          <w:bCs/>
        </w:rPr>
        <w:t xml:space="preserve">samen optrekken </w:t>
      </w:r>
      <w:r w:rsidR="008B6563">
        <w:rPr>
          <w:bCs/>
        </w:rPr>
        <w:t xml:space="preserve">om te </w:t>
      </w:r>
      <w:r w:rsidR="00DA48EA">
        <w:rPr>
          <w:bCs/>
        </w:rPr>
        <w:t>werken aan een veiliger keten.</w:t>
      </w:r>
      <w:r w:rsidR="00B62FB9">
        <w:rPr>
          <w:bCs/>
        </w:rPr>
        <w:t xml:space="preserve"> </w:t>
      </w:r>
    </w:p>
    <w:p w:rsidR="0080703C" w:rsidRDefault="0080703C" w:rsidP="00FC50AD">
      <w:pPr>
        <w:spacing w:after="0" w:line="260" w:lineRule="atLeast"/>
        <w:rPr>
          <w:bCs/>
        </w:rPr>
      </w:pPr>
    </w:p>
    <w:p w:rsidR="00B516DD" w:rsidRDefault="00B516DD" w:rsidP="00FC50AD">
      <w:pPr>
        <w:pStyle w:val="Kop2"/>
        <w:spacing w:before="0" w:line="260" w:lineRule="atLeast"/>
      </w:pPr>
      <w:bookmarkStart w:id="7" w:name="_Toc410767891"/>
      <w:bookmarkStart w:id="8" w:name="_Toc410923381"/>
      <w:bookmarkStart w:id="9" w:name="_Toc412100400"/>
      <w:r>
        <w:t>1.</w:t>
      </w:r>
      <w:r w:rsidR="00081F25">
        <w:t>2</w:t>
      </w:r>
      <w:r>
        <w:t xml:space="preserve"> Doel</w:t>
      </w:r>
      <w:bookmarkEnd w:id="7"/>
      <w:bookmarkEnd w:id="8"/>
      <w:bookmarkEnd w:id="9"/>
    </w:p>
    <w:p w:rsidR="00404B03" w:rsidRDefault="00404B03" w:rsidP="00404B03">
      <w:pPr>
        <w:pStyle w:val="Geenafstand"/>
      </w:pPr>
      <w:r>
        <w:t xml:space="preserve">Vraagstukken rondom privacy en beveiliging beperken zich al lang niet meer tot individuele organisaties. Het onderwijs werkt in hoge mate in ketens, waarbij de veiligheid van de keten bepaald </w:t>
      </w:r>
      <w:r>
        <w:lastRenderedPageBreak/>
        <w:t>wordt door de sterkte van de zwakste schakel. Het heeft geen zin om op één plaats in de keten hoge muren rond informatie op te werpen, als verderop in de keten niet hetzelfde niveau van privacybescherming en informatiebeveiliging wordt gehanteerd.</w:t>
      </w:r>
    </w:p>
    <w:p w:rsidR="00404B03" w:rsidRDefault="00404B03" w:rsidP="00404B03">
      <w:pPr>
        <w:pStyle w:val="Geenafstand"/>
      </w:pPr>
    </w:p>
    <w:p w:rsidR="00404B03" w:rsidRDefault="00404B03" w:rsidP="00404B03">
      <w:pPr>
        <w:pStyle w:val="Geenafstand"/>
        <w:rPr>
          <w:bCs/>
        </w:rPr>
      </w:pPr>
      <w:r>
        <w:t xml:space="preserve">Om </w:t>
      </w:r>
      <w:proofErr w:type="spellStart"/>
      <w:r>
        <w:t>ketenbreed</w:t>
      </w:r>
      <w:proofErr w:type="spellEnd"/>
      <w:r>
        <w:t xml:space="preserve"> de beveiliging van informatie en de bescherming van privacy te waarborgen, moeten alle ketenpartijen zich daarom committeren aan een aantal kaders over hoe om te gaan met informatiebeveiliging en privacy.</w:t>
      </w:r>
    </w:p>
    <w:p w:rsidR="00B516DD" w:rsidRDefault="00B516DD" w:rsidP="00FC50AD">
      <w:pPr>
        <w:spacing w:after="0" w:line="260" w:lineRule="atLeast"/>
        <w:rPr>
          <w:bCs/>
        </w:rPr>
      </w:pPr>
      <w:r w:rsidRPr="003F3050">
        <w:rPr>
          <w:bCs/>
        </w:rPr>
        <w:t xml:space="preserve">Het katern Privacy en beveiliging </w:t>
      </w:r>
      <w:r w:rsidR="00404B03">
        <w:rPr>
          <w:bCs/>
        </w:rPr>
        <w:t xml:space="preserve">biedt deze </w:t>
      </w:r>
      <w:r w:rsidRPr="003F3050">
        <w:rPr>
          <w:bCs/>
        </w:rPr>
        <w:t xml:space="preserve">kaders op het gebied van privacy en beveiliging </w:t>
      </w:r>
      <w:r w:rsidRPr="00812FF6">
        <w:rPr>
          <w:bCs/>
        </w:rPr>
        <w:t xml:space="preserve">voor </w:t>
      </w:r>
      <w:proofErr w:type="spellStart"/>
      <w:r w:rsidR="00A21DF7" w:rsidRPr="00812FF6">
        <w:rPr>
          <w:bCs/>
        </w:rPr>
        <w:t>ict</w:t>
      </w:r>
      <w:proofErr w:type="spellEnd"/>
      <w:r w:rsidR="00A21DF7" w:rsidRPr="00812FF6">
        <w:rPr>
          <w:bCs/>
        </w:rPr>
        <w:t xml:space="preserve">-voorzieningen </w:t>
      </w:r>
      <w:r w:rsidRPr="00812FF6">
        <w:rPr>
          <w:bCs/>
        </w:rPr>
        <w:t>die</w:t>
      </w:r>
      <w:r w:rsidRPr="003F3050">
        <w:rPr>
          <w:bCs/>
        </w:rPr>
        <w:t xml:space="preserve"> binnen het onderwijs </w:t>
      </w:r>
      <w:r w:rsidR="00A21DF7" w:rsidRPr="003F3050">
        <w:rPr>
          <w:bCs/>
        </w:rPr>
        <w:t xml:space="preserve">gebruikt </w:t>
      </w:r>
      <w:r w:rsidRPr="003F3050">
        <w:rPr>
          <w:bCs/>
        </w:rPr>
        <w:t>worden.</w:t>
      </w:r>
      <w:r w:rsidR="00581918">
        <w:rPr>
          <w:bCs/>
        </w:rPr>
        <w:t xml:space="preserve"> </w:t>
      </w:r>
      <w:r w:rsidRPr="003F3050">
        <w:rPr>
          <w:bCs/>
        </w:rPr>
        <w:t>Deze kaders</w:t>
      </w:r>
      <w:r w:rsidR="00581918">
        <w:rPr>
          <w:bCs/>
        </w:rPr>
        <w:t xml:space="preserve"> </w:t>
      </w:r>
      <w:r w:rsidRPr="003F3050">
        <w:rPr>
          <w:bCs/>
        </w:rPr>
        <w:t>zijn</w:t>
      </w:r>
      <w:r w:rsidR="00581918">
        <w:rPr>
          <w:bCs/>
        </w:rPr>
        <w:t xml:space="preserve"> </w:t>
      </w:r>
      <w:r w:rsidRPr="003F3050">
        <w:rPr>
          <w:bCs/>
        </w:rPr>
        <w:t xml:space="preserve">gebaseerd op </w:t>
      </w:r>
      <w:r w:rsidR="00C14038">
        <w:rPr>
          <w:bCs/>
        </w:rPr>
        <w:t xml:space="preserve">generieke </w:t>
      </w:r>
      <w:r w:rsidRPr="003F3050">
        <w:rPr>
          <w:bCs/>
        </w:rPr>
        <w:t>risico’s</w:t>
      </w:r>
      <w:r w:rsidR="00581918">
        <w:rPr>
          <w:bCs/>
        </w:rPr>
        <w:t xml:space="preserve"> </w:t>
      </w:r>
      <w:r w:rsidRPr="003F3050">
        <w:rPr>
          <w:bCs/>
        </w:rPr>
        <w:t>die relevant zijn voor informatiebeveiliging in het onderwijsdomein.</w:t>
      </w:r>
      <w:r w:rsidR="00581918">
        <w:rPr>
          <w:bCs/>
        </w:rPr>
        <w:t xml:space="preserve"> </w:t>
      </w:r>
    </w:p>
    <w:p w:rsidR="00B516DD" w:rsidRDefault="00B516DD" w:rsidP="00FC50AD">
      <w:pPr>
        <w:spacing w:after="0" w:line="260" w:lineRule="atLeast"/>
        <w:rPr>
          <w:bCs/>
        </w:rPr>
      </w:pPr>
    </w:p>
    <w:p w:rsidR="00180478" w:rsidRDefault="00180478" w:rsidP="00FC50AD">
      <w:pPr>
        <w:pStyle w:val="Kop2"/>
        <w:spacing w:before="0" w:line="260" w:lineRule="atLeast"/>
      </w:pPr>
      <w:bookmarkStart w:id="10" w:name="_Toc410767892"/>
      <w:bookmarkStart w:id="11" w:name="_Toc410923382"/>
      <w:bookmarkStart w:id="12" w:name="_Toc412100401"/>
      <w:r>
        <w:t>1.</w:t>
      </w:r>
      <w:r w:rsidR="00081F25">
        <w:t>3</w:t>
      </w:r>
      <w:r>
        <w:t xml:space="preserve"> Doelgroep</w:t>
      </w:r>
      <w:bookmarkEnd w:id="10"/>
      <w:bookmarkEnd w:id="11"/>
      <w:bookmarkEnd w:id="12"/>
      <w:r>
        <w:t xml:space="preserve"> </w:t>
      </w:r>
    </w:p>
    <w:p w:rsidR="00180478" w:rsidRDefault="00180478" w:rsidP="00FC50AD">
      <w:pPr>
        <w:spacing w:after="0" w:line="260" w:lineRule="atLeast"/>
        <w:rPr>
          <w:bCs/>
        </w:rPr>
      </w:pPr>
      <w:r>
        <w:rPr>
          <w:bCs/>
        </w:rPr>
        <w:t xml:space="preserve">Het katern maakt onderdeel uit van de </w:t>
      </w:r>
      <w:r w:rsidR="00EC5C85">
        <w:rPr>
          <w:bCs/>
        </w:rPr>
        <w:t>Referentiearchitectuur Onderwijs (</w:t>
      </w:r>
      <w:r>
        <w:rPr>
          <w:bCs/>
        </w:rPr>
        <w:t>ROSA</w:t>
      </w:r>
      <w:r w:rsidR="00EC5C85">
        <w:rPr>
          <w:bCs/>
        </w:rPr>
        <w:t>)</w:t>
      </w:r>
      <w:r>
        <w:rPr>
          <w:bCs/>
        </w:rPr>
        <w:t xml:space="preserve">, waarin ook andere architectuurkaders staan geformuleerd die betrekking </w:t>
      </w:r>
      <w:r w:rsidR="00EC5C85">
        <w:rPr>
          <w:bCs/>
        </w:rPr>
        <w:t xml:space="preserve">hebben </w:t>
      </w:r>
      <w:r>
        <w:rPr>
          <w:bCs/>
        </w:rPr>
        <w:t xml:space="preserve">op </w:t>
      </w:r>
      <w:proofErr w:type="spellStart"/>
      <w:r>
        <w:rPr>
          <w:bCs/>
          <w:i/>
        </w:rPr>
        <w:t>bovensectorale</w:t>
      </w:r>
      <w:proofErr w:type="spellEnd"/>
      <w:r>
        <w:rPr>
          <w:bCs/>
          <w:i/>
        </w:rPr>
        <w:t xml:space="preserve"> </w:t>
      </w:r>
      <w:r>
        <w:rPr>
          <w:bCs/>
        </w:rPr>
        <w:t xml:space="preserve">gegevensuitwisseling binnen het onderwijs. </w:t>
      </w:r>
      <w:r w:rsidR="00EC5C85">
        <w:rPr>
          <w:bCs/>
        </w:rPr>
        <w:t xml:space="preserve">Met </w:t>
      </w:r>
      <w:proofErr w:type="spellStart"/>
      <w:r w:rsidR="00EC5C85">
        <w:rPr>
          <w:bCs/>
        </w:rPr>
        <w:t>bovensectoraal</w:t>
      </w:r>
      <w:proofErr w:type="spellEnd"/>
      <w:r w:rsidR="00EC5C85">
        <w:rPr>
          <w:bCs/>
        </w:rPr>
        <w:t xml:space="preserve"> </w:t>
      </w:r>
      <w:r w:rsidR="004560CA">
        <w:rPr>
          <w:bCs/>
        </w:rPr>
        <w:t>wordt gedoeld op de</w:t>
      </w:r>
      <w:r w:rsidR="00581918">
        <w:rPr>
          <w:bCs/>
        </w:rPr>
        <w:t xml:space="preserve"> </w:t>
      </w:r>
      <w:r w:rsidR="00404B03">
        <w:rPr>
          <w:bCs/>
        </w:rPr>
        <w:t>uitwisseling</w:t>
      </w:r>
      <w:r>
        <w:rPr>
          <w:bCs/>
        </w:rPr>
        <w:t xml:space="preserve"> tussen onderwijssectoren onderling of de uitwisseling met DUO</w:t>
      </w:r>
      <w:r w:rsidR="00EC5C85">
        <w:rPr>
          <w:bCs/>
        </w:rPr>
        <w:t xml:space="preserve"> of</w:t>
      </w:r>
      <w:r>
        <w:rPr>
          <w:bCs/>
        </w:rPr>
        <w:t xml:space="preserve"> andere gemeenschappelijke marktpartijen, zoals </w:t>
      </w:r>
      <w:r w:rsidR="004560CA">
        <w:rPr>
          <w:bCs/>
        </w:rPr>
        <w:t>leveranciers</w:t>
      </w:r>
      <w:r w:rsidR="006016C3">
        <w:rPr>
          <w:bCs/>
        </w:rPr>
        <w:t xml:space="preserve"> van </w:t>
      </w:r>
      <w:proofErr w:type="spellStart"/>
      <w:r w:rsidR="006016C3">
        <w:rPr>
          <w:bCs/>
        </w:rPr>
        <w:t>leerlingadministratiesystemen</w:t>
      </w:r>
      <w:proofErr w:type="spellEnd"/>
      <w:r w:rsidR="006016C3">
        <w:rPr>
          <w:bCs/>
        </w:rPr>
        <w:t xml:space="preserve"> (LAS)</w:t>
      </w:r>
      <w:r w:rsidR="004560CA">
        <w:rPr>
          <w:bCs/>
        </w:rPr>
        <w:t xml:space="preserve">, </w:t>
      </w:r>
      <w:r>
        <w:rPr>
          <w:bCs/>
        </w:rPr>
        <w:t>uitgeverijen en distributeurs.</w:t>
      </w:r>
    </w:p>
    <w:p w:rsidR="00180478" w:rsidRDefault="00180478" w:rsidP="00FC50AD">
      <w:pPr>
        <w:spacing w:after="0" w:line="260" w:lineRule="atLeast"/>
        <w:rPr>
          <w:bCs/>
        </w:rPr>
      </w:pPr>
    </w:p>
    <w:p w:rsidR="00180478" w:rsidRDefault="00180478" w:rsidP="00FC50AD">
      <w:pPr>
        <w:spacing w:after="0" w:line="260" w:lineRule="atLeast"/>
        <w:rPr>
          <w:bCs/>
        </w:rPr>
      </w:pPr>
      <w:r>
        <w:rPr>
          <w:bCs/>
        </w:rPr>
        <w:t xml:space="preserve">Met het katern hebben opdrachtgevers binnen de keten een instrument in handen om de juiste </w:t>
      </w:r>
      <w:r w:rsidR="00081F25">
        <w:rPr>
          <w:bCs/>
        </w:rPr>
        <w:t xml:space="preserve">kaders </w:t>
      </w:r>
      <w:r>
        <w:rPr>
          <w:bCs/>
        </w:rPr>
        <w:t>te stellen aan de voorziening voor het veilige digitaal uitwisselen van gegevens binnen de onderwijsketen</w:t>
      </w:r>
      <w:r w:rsidR="00EC5C85">
        <w:rPr>
          <w:bCs/>
        </w:rPr>
        <w:t>.</w:t>
      </w:r>
    </w:p>
    <w:p w:rsidR="00081F25" w:rsidRDefault="00081F25" w:rsidP="00FC50AD">
      <w:pPr>
        <w:spacing w:after="0" w:line="260" w:lineRule="atLeast"/>
        <w:rPr>
          <w:bCs/>
        </w:rPr>
      </w:pPr>
    </w:p>
    <w:p w:rsidR="00180478" w:rsidRDefault="00180478" w:rsidP="00FC50AD">
      <w:pPr>
        <w:pStyle w:val="Kop2"/>
        <w:spacing w:before="0" w:line="260" w:lineRule="atLeast"/>
      </w:pPr>
      <w:bookmarkStart w:id="13" w:name="_Toc410767893"/>
      <w:bookmarkStart w:id="14" w:name="_Toc410923383"/>
      <w:bookmarkStart w:id="15" w:name="_Toc412100402"/>
      <w:r>
        <w:t xml:space="preserve">1.4 </w:t>
      </w:r>
      <w:r w:rsidR="00A21DF7">
        <w:t>Opbouw</w:t>
      </w:r>
      <w:bookmarkEnd w:id="13"/>
      <w:bookmarkEnd w:id="14"/>
      <w:bookmarkEnd w:id="15"/>
    </w:p>
    <w:p w:rsidR="00B516DD" w:rsidRDefault="00B516DD" w:rsidP="00FC50AD">
      <w:pPr>
        <w:spacing w:after="0" w:line="260" w:lineRule="atLeast"/>
        <w:rPr>
          <w:bCs/>
        </w:rPr>
      </w:pPr>
      <w:r>
        <w:rPr>
          <w:bCs/>
        </w:rPr>
        <w:t xml:space="preserve">Risico’s kunnen per type gegeven of </w:t>
      </w:r>
      <w:r w:rsidR="00180478">
        <w:rPr>
          <w:bCs/>
        </w:rPr>
        <w:t>proces</w:t>
      </w:r>
      <w:r w:rsidR="00081F25">
        <w:rPr>
          <w:bCs/>
        </w:rPr>
        <w:t xml:space="preserve"> verschillen</w:t>
      </w:r>
      <w:r>
        <w:rPr>
          <w:bCs/>
        </w:rPr>
        <w:t xml:space="preserve">. Daarom </w:t>
      </w:r>
      <w:r w:rsidR="003F3050">
        <w:rPr>
          <w:bCs/>
        </w:rPr>
        <w:t>wordt</w:t>
      </w:r>
      <w:r>
        <w:rPr>
          <w:bCs/>
        </w:rPr>
        <w:t xml:space="preserve"> </w:t>
      </w:r>
      <w:r w:rsidR="00C8724A">
        <w:rPr>
          <w:bCs/>
        </w:rPr>
        <w:t xml:space="preserve">in hoofdstuk 2 </w:t>
      </w:r>
      <w:r>
        <w:rPr>
          <w:bCs/>
        </w:rPr>
        <w:t xml:space="preserve">onderscheid </w:t>
      </w:r>
      <w:r w:rsidR="003F3050">
        <w:rPr>
          <w:bCs/>
        </w:rPr>
        <w:t xml:space="preserve">gemaakt </w:t>
      </w:r>
      <w:r w:rsidR="00C376DA">
        <w:rPr>
          <w:bCs/>
        </w:rPr>
        <w:t>tussen</w:t>
      </w:r>
      <w:r>
        <w:rPr>
          <w:bCs/>
        </w:rPr>
        <w:t xml:space="preserve"> </w:t>
      </w:r>
      <w:r w:rsidR="0073481B">
        <w:rPr>
          <w:bCs/>
        </w:rPr>
        <w:t xml:space="preserve">een basisniveau </w:t>
      </w:r>
      <w:r>
        <w:rPr>
          <w:bCs/>
        </w:rPr>
        <w:t>en additionele kaders die betrekking hebben op specifieke processen of gegevens.</w:t>
      </w:r>
    </w:p>
    <w:p w:rsidR="0073481B" w:rsidRDefault="0073481B" w:rsidP="0073481B">
      <w:pPr>
        <w:spacing w:after="0" w:line="260" w:lineRule="atLeast"/>
        <w:rPr>
          <w:bCs/>
        </w:rPr>
      </w:pPr>
      <w:r>
        <w:rPr>
          <w:bCs/>
        </w:rPr>
        <w:t xml:space="preserve">Voor de te nemen maatregelen zijn </w:t>
      </w:r>
      <w:r w:rsidR="00C8724A">
        <w:rPr>
          <w:bCs/>
        </w:rPr>
        <w:t xml:space="preserve">in hoofdstuk 3 </w:t>
      </w:r>
      <w:r>
        <w:rPr>
          <w:bCs/>
        </w:rPr>
        <w:t xml:space="preserve">verwijzingen naar toetsingskaders opgenomen voor zowel Verantwoordelijken (lees: onderwijsinstellingen) als Bewerkers (lees: leveranciers/uitgeverijen). Met behulp van de toetsingskaders kan worden vastgesteld of aan de benodigde beheersmaatregelen wordt voldaan. </w:t>
      </w:r>
    </w:p>
    <w:p w:rsidR="0073481B" w:rsidRDefault="00AF7271" w:rsidP="003F3050">
      <w:pPr>
        <w:spacing w:after="0" w:line="260" w:lineRule="atLeast"/>
      </w:pPr>
      <w:r>
        <w:t>H</w:t>
      </w:r>
      <w:r w:rsidR="0073481B">
        <w:t xml:space="preserve">et katern </w:t>
      </w:r>
      <w:r>
        <w:t xml:space="preserve">bevat </w:t>
      </w:r>
      <w:r w:rsidR="00C8724A">
        <w:t xml:space="preserve">als bijlage </w:t>
      </w:r>
      <w:r>
        <w:t xml:space="preserve">ook </w:t>
      </w:r>
      <w:r w:rsidR="0073481B">
        <w:t>een begrippenlijst, om het gebruik van dezelfde begrippen ten aanzien van privacy en informatiebeveiliging binnen het onderwijs te bevorderen</w:t>
      </w:r>
      <w:r>
        <w:t>.</w:t>
      </w:r>
    </w:p>
    <w:p w:rsidR="00F3676F" w:rsidRDefault="00F3676F" w:rsidP="003F3050">
      <w:pPr>
        <w:spacing w:after="0" w:line="260" w:lineRule="atLeast"/>
      </w:pPr>
    </w:p>
    <w:p w:rsidR="00803870" w:rsidRDefault="003F3050" w:rsidP="00803870">
      <w:pPr>
        <w:pStyle w:val="Kop2"/>
        <w:spacing w:before="0" w:line="260" w:lineRule="atLeast"/>
      </w:pPr>
      <w:bookmarkStart w:id="16" w:name="_Toc410767894"/>
      <w:bookmarkStart w:id="17" w:name="_Toc410923384"/>
      <w:bookmarkStart w:id="18" w:name="_Toc412100403"/>
      <w:r>
        <w:t>1.5</w:t>
      </w:r>
      <w:r w:rsidR="00803870">
        <w:t xml:space="preserve"> Verantwoording</w:t>
      </w:r>
      <w:bookmarkEnd w:id="16"/>
      <w:bookmarkEnd w:id="17"/>
      <w:bookmarkEnd w:id="18"/>
    </w:p>
    <w:p w:rsidR="00822064" w:rsidRPr="00822064" w:rsidRDefault="00803870" w:rsidP="00822064">
      <w:pPr>
        <w:spacing w:after="0" w:line="260" w:lineRule="atLeast"/>
        <w:rPr>
          <w:bCs/>
        </w:rPr>
      </w:pPr>
      <w:r>
        <w:rPr>
          <w:bCs/>
        </w:rPr>
        <w:t xml:space="preserve">Het katern Privacy en beveiliging is opgesteld binnen het Samenwerkingsplatform Informatie Onderwijs (SION), in samenwerking met SURF, </w:t>
      </w:r>
      <w:r w:rsidR="007E5699">
        <w:rPr>
          <w:bCs/>
        </w:rPr>
        <w:t xml:space="preserve">Studielink, </w:t>
      </w:r>
      <w:proofErr w:type="spellStart"/>
      <w:r w:rsidR="007E5699">
        <w:rPr>
          <w:bCs/>
        </w:rPr>
        <w:t>saMBO</w:t>
      </w:r>
      <w:proofErr w:type="spellEnd"/>
      <w:r w:rsidR="007E5699">
        <w:rPr>
          <w:bCs/>
        </w:rPr>
        <w:t>-ICT,</w:t>
      </w:r>
      <w:r>
        <w:rPr>
          <w:bCs/>
        </w:rPr>
        <w:t xml:space="preserve">, Kennisnet, DUO en </w:t>
      </w:r>
      <w:r w:rsidR="00B53F4F">
        <w:rPr>
          <w:bCs/>
        </w:rPr>
        <w:t xml:space="preserve">het ministerie van </w:t>
      </w:r>
      <w:r>
        <w:rPr>
          <w:bCs/>
        </w:rPr>
        <w:t xml:space="preserve">OCW. Het katern maakt onderdeel uit van de </w:t>
      </w:r>
      <w:r w:rsidR="00C6372F">
        <w:rPr>
          <w:bCs/>
        </w:rPr>
        <w:t>Referentie</w:t>
      </w:r>
      <w:r>
        <w:rPr>
          <w:bCs/>
        </w:rPr>
        <w:t xml:space="preserve">architectuur </w:t>
      </w:r>
      <w:r w:rsidR="00C6372F">
        <w:rPr>
          <w:bCs/>
        </w:rPr>
        <w:t>O</w:t>
      </w:r>
      <w:r>
        <w:rPr>
          <w:bCs/>
        </w:rPr>
        <w:t xml:space="preserve">nderwijs (ROSA). De inhoud van het katern is afgestemd met andere initiatieven binnen de keten, waaronder de werkgroep </w:t>
      </w:r>
      <w:proofErr w:type="spellStart"/>
      <w:r w:rsidR="007E5699">
        <w:rPr>
          <w:bCs/>
        </w:rPr>
        <w:t>SURF</w:t>
      </w:r>
      <w:r w:rsidR="00F916A7">
        <w:rPr>
          <w:bCs/>
        </w:rPr>
        <w:t>ibo</w:t>
      </w:r>
      <w:proofErr w:type="spellEnd"/>
      <w:r>
        <w:rPr>
          <w:bCs/>
        </w:rPr>
        <w:t xml:space="preserve"> in het </w:t>
      </w:r>
      <w:r w:rsidR="00331343">
        <w:rPr>
          <w:bCs/>
        </w:rPr>
        <w:t>h</w:t>
      </w:r>
      <w:r>
        <w:rPr>
          <w:bCs/>
        </w:rPr>
        <w:t xml:space="preserve">oger onderwijs en de taskforce informatiebeveiliging in het </w:t>
      </w:r>
      <w:r w:rsidR="00331343">
        <w:rPr>
          <w:bCs/>
        </w:rPr>
        <w:t>mbo</w:t>
      </w:r>
      <w:r>
        <w:rPr>
          <w:bCs/>
        </w:rPr>
        <w:t>.</w:t>
      </w:r>
      <w:bookmarkStart w:id="19" w:name="_Ref402441331"/>
      <w:bookmarkStart w:id="20" w:name="_Ref410765854"/>
      <w:bookmarkStart w:id="21" w:name="_Toc410767895"/>
      <w:r w:rsidR="00822064">
        <w:rPr>
          <w:bCs/>
        </w:rPr>
        <w:br/>
      </w:r>
    </w:p>
    <w:p w:rsidR="00822064" w:rsidRDefault="00822064" w:rsidP="00822064">
      <w:pPr>
        <w:pStyle w:val="Kop2"/>
        <w:spacing w:before="0" w:line="260" w:lineRule="atLeast"/>
      </w:pPr>
      <w:bookmarkStart w:id="22" w:name="_Toc412100404"/>
      <w:r>
        <w:t>1.6 Status</w:t>
      </w:r>
      <w:bookmarkEnd w:id="22"/>
    </w:p>
    <w:p w:rsidR="00822064" w:rsidRDefault="00822064" w:rsidP="00822064">
      <w:pPr>
        <w:spacing w:after="0" w:line="240" w:lineRule="auto"/>
      </w:pPr>
      <w:r>
        <w:t xml:space="preserve">Het katern vormt evenals de overige onderdelen van de ROSA architectuur een streefbeeld voor de keten. Partijen streven ernaar om hieraan te voldoen en leggen uit waarom ze hier (nog) niet aan kunnen voldoen. De kaders zijn </w:t>
      </w:r>
      <w:r w:rsidR="00C14038">
        <w:t>daarmee</w:t>
      </w:r>
      <w:r>
        <w:t xml:space="preserve"> richtinggevend. </w:t>
      </w:r>
    </w:p>
    <w:p w:rsidR="00C8724A" w:rsidRDefault="00C8724A">
      <w:pPr>
        <w:rPr>
          <w:rFonts w:asciiTheme="majorHAnsi" w:eastAsiaTheme="majorEastAsia" w:hAnsiTheme="majorHAnsi" w:cstheme="majorBidi"/>
          <w:b/>
          <w:bCs/>
          <w:color w:val="365F91" w:themeColor="accent1" w:themeShade="BF"/>
          <w:sz w:val="28"/>
          <w:szCs w:val="28"/>
        </w:rPr>
      </w:pPr>
      <w:bookmarkStart w:id="23" w:name="_Toc410923385"/>
      <w:bookmarkStart w:id="24" w:name="_Toc412100405"/>
      <w:r>
        <w:br w:type="page"/>
      </w:r>
    </w:p>
    <w:p w:rsidR="00770235" w:rsidRPr="00D80BA6" w:rsidRDefault="00822064" w:rsidP="00FC50AD">
      <w:pPr>
        <w:pStyle w:val="Kop1"/>
        <w:spacing w:before="0" w:line="260" w:lineRule="atLeast"/>
      </w:pPr>
      <w:r>
        <w:lastRenderedPageBreak/>
        <w:t>2</w:t>
      </w:r>
      <w:r w:rsidR="002A6F2D" w:rsidRPr="00D80BA6">
        <w:t>.</w:t>
      </w:r>
      <w:r w:rsidR="00DD27AC" w:rsidRPr="00D80BA6">
        <w:t xml:space="preserve"> </w:t>
      </w:r>
      <w:r w:rsidR="00186273">
        <w:t>Gemeenschappelijke k</w:t>
      </w:r>
      <w:r w:rsidR="00DD27AC" w:rsidRPr="00D80BA6">
        <w:t>ader</w:t>
      </w:r>
      <w:bookmarkEnd w:id="19"/>
      <w:r w:rsidR="00404B03">
        <w:t>s</w:t>
      </w:r>
      <w:bookmarkEnd w:id="20"/>
      <w:bookmarkEnd w:id="21"/>
      <w:bookmarkEnd w:id="23"/>
      <w:bookmarkEnd w:id="24"/>
    </w:p>
    <w:p w:rsidR="008A1234" w:rsidRPr="00D80BA6" w:rsidRDefault="00404B03" w:rsidP="00404B03">
      <w:pPr>
        <w:pStyle w:val="Geenafstand"/>
      </w:pPr>
      <w:r>
        <w:t xml:space="preserve">De kaders in dit hoofdstuk vormen </w:t>
      </w:r>
      <w:r w:rsidR="003157D3">
        <w:t>het 'basisniveau privacy en beveiliging'</w:t>
      </w:r>
      <w:r>
        <w:t xml:space="preserve"> voor het onderwijs</w:t>
      </w:r>
      <w:r w:rsidR="003157D3">
        <w:t>.</w:t>
      </w:r>
      <w:r w:rsidR="00F559FA">
        <w:t xml:space="preserve"> Een belangrijk onderdeel van </w:t>
      </w:r>
      <w:r>
        <w:t xml:space="preserve">de kaders omvat </w:t>
      </w:r>
      <w:r w:rsidR="00F559FA">
        <w:t>de wijze waarop we elkaar in het onderwijsdomein kunnen aanspreken op het voldoen aan het basisniveau. Daartoe zijn toetsingskaders beschikbaar, waarmee objectief kan worden vastgesteld op welk volwassenheidsniveau een organisatie (zoals een instelling, een leverancier, of een bewerker die namens de instelling optreedt) zich bevindt.</w:t>
      </w:r>
    </w:p>
    <w:p w:rsidR="00404B03" w:rsidRDefault="00404B03" w:rsidP="00FC50AD">
      <w:pPr>
        <w:pStyle w:val="Kop2"/>
        <w:spacing w:before="0" w:line="260" w:lineRule="atLeast"/>
      </w:pPr>
    </w:p>
    <w:p w:rsidR="0008648F" w:rsidRPr="00D80BA6" w:rsidRDefault="003F3050" w:rsidP="00FC50AD">
      <w:pPr>
        <w:pStyle w:val="Kop2"/>
        <w:spacing w:before="0" w:line="260" w:lineRule="atLeast"/>
      </w:pPr>
      <w:bookmarkStart w:id="25" w:name="_Toc410767896"/>
      <w:bookmarkStart w:id="26" w:name="_Toc410923386"/>
      <w:bookmarkStart w:id="27" w:name="_Toc412100406"/>
      <w:r>
        <w:t>2</w:t>
      </w:r>
      <w:r w:rsidR="0008648F" w:rsidRPr="00D80BA6">
        <w:t xml:space="preserve">.1 </w:t>
      </w:r>
      <w:r w:rsidR="002841F2">
        <w:t xml:space="preserve">Basisniveau </w:t>
      </w:r>
      <w:r w:rsidR="00404B03">
        <w:t>p</w:t>
      </w:r>
      <w:r w:rsidR="002841F2">
        <w:t xml:space="preserve">rivacy en </w:t>
      </w:r>
      <w:r w:rsidR="00404B03">
        <w:t>informatieb</w:t>
      </w:r>
      <w:r w:rsidR="002841F2">
        <w:t>eveiliging</w:t>
      </w:r>
      <w:bookmarkEnd w:id="25"/>
      <w:bookmarkEnd w:id="26"/>
      <w:bookmarkEnd w:id="27"/>
    </w:p>
    <w:p w:rsidR="00063966" w:rsidRPr="00D80BA6" w:rsidRDefault="002841F2" w:rsidP="00FC50AD">
      <w:pPr>
        <w:spacing w:after="0" w:line="260" w:lineRule="atLeast"/>
      </w:pPr>
      <w:r>
        <w:t>Het basisniveau</w:t>
      </w:r>
      <w:r w:rsidR="00C20CCB" w:rsidRPr="00D80BA6">
        <w:t xml:space="preserve"> omvat zaken op het gebied van privacy en beveiliging die hoe dan ook geregeld moeten zijn. De kaders in </w:t>
      </w:r>
      <w:r>
        <w:t>het basisniveau</w:t>
      </w:r>
      <w:r w:rsidR="00C20CCB" w:rsidRPr="00D80BA6">
        <w:t xml:space="preserve"> zijn dus in elke situatie binnen het onderwijs van toepassing</w:t>
      </w:r>
      <w:r w:rsidR="00063966" w:rsidRPr="00D80BA6">
        <w:t xml:space="preserve"> en zijn gericht op:</w:t>
      </w:r>
    </w:p>
    <w:p w:rsidR="006A37C6" w:rsidRDefault="006A37C6" w:rsidP="006A37C6">
      <w:pPr>
        <w:pStyle w:val="Lijstalinea"/>
        <w:numPr>
          <w:ilvl w:val="0"/>
          <w:numId w:val="18"/>
        </w:numPr>
        <w:spacing w:after="0" w:line="260" w:lineRule="atLeast"/>
      </w:pPr>
      <w:r w:rsidRPr="00D80BA6">
        <w:t>Informatiebeveiliging door ketenpartijen.</w:t>
      </w:r>
    </w:p>
    <w:p w:rsidR="00063966" w:rsidRPr="00D80BA6" w:rsidRDefault="00063966" w:rsidP="00FC50AD">
      <w:pPr>
        <w:pStyle w:val="Lijstalinea"/>
        <w:numPr>
          <w:ilvl w:val="0"/>
          <w:numId w:val="18"/>
        </w:numPr>
        <w:spacing w:after="0" w:line="260" w:lineRule="atLeast"/>
      </w:pPr>
      <w:proofErr w:type="spellStart"/>
      <w:r w:rsidRPr="00D80BA6">
        <w:t>Ketenbrede</w:t>
      </w:r>
      <w:proofErr w:type="spellEnd"/>
      <w:r w:rsidRPr="00D80BA6">
        <w:t xml:space="preserve"> waarborging van vertrouwelijkheid en integriteit;</w:t>
      </w:r>
    </w:p>
    <w:p w:rsidR="00063966" w:rsidRDefault="00063966" w:rsidP="00FC50AD">
      <w:pPr>
        <w:pStyle w:val="Lijstalinea"/>
        <w:numPr>
          <w:ilvl w:val="0"/>
          <w:numId w:val="18"/>
        </w:numPr>
        <w:spacing w:after="0" w:line="260" w:lineRule="atLeast"/>
      </w:pPr>
      <w:proofErr w:type="spellStart"/>
      <w:r w:rsidRPr="00D80BA6">
        <w:t>Ketenbrede</w:t>
      </w:r>
      <w:proofErr w:type="spellEnd"/>
      <w:r w:rsidRPr="00D80BA6">
        <w:t xml:space="preserve"> waarborging van beschikbaarheid in ketenprocessen;</w:t>
      </w:r>
    </w:p>
    <w:p w:rsidR="00A46A7C" w:rsidRPr="00D80BA6" w:rsidRDefault="00A46A7C" w:rsidP="00FC50AD">
      <w:pPr>
        <w:pStyle w:val="Lijstalinea"/>
        <w:numPr>
          <w:ilvl w:val="0"/>
          <w:numId w:val="18"/>
        </w:numPr>
        <w:spacing w:after="0" w:line="260" w:lineRule="atLeast"/>
      </w:pPr>
      <w:proofErr w:type="spellStart"/>
      <w:r>
        <w:t>Ketenbrede</w:t>
      </w:r>
      <w:proofErr w:type="spellEnd"/>
      <w:r>
        <w:t xml:space="preserve"> waarborging van controleerbaarheid;</w:t>
      </w:r>
    </w:p>
    <w:p w:rsidR="008C742C" w:rsidRPr="00D80BA6" w:rsidRDefault="008C742C" w:rsidP="00FC50AD">
      <w:pPr>
        <w:pStyle w:val="Lijstalinea"/>
        <w:numPr>
          <w:ilvl w:val="0"/>
          <w:numId w:val="18"/>
        </w:numPr>
        <w:spacing w:after="0" w:line="260" w:lineRule="atLeast"/>
      </w:pPr>
      <w:proofErr w:type="spellStart"/>
      <w:r>
        <w:t>Ketenbrede</w:t>
      </w:r>
      <w:proofErr w:type="spellEnd"/>
      <w:r>
        <w:t xml:space="preserve"> </w:t>
      </w:r>
      <w:proofErr w:type="spellStart"/>
      <w:r>
        <w:t>governance</w:t>
      </w:r>
      <w:proofErr w:type="spellEnd"/>
      <w:r>
        <w:t xml:space="preserve"> van privacy- en beveiligingsmaatregelen</w:t>
      </w:r>
    </w:p>
    <w:p w:rsidR="00CF2A70" w:rsidRPr="00D80BA6" w:rsidRDefault="00CF2A70" w:rsidP="00CF2A70">
      <w:pPr>
        <w:spacing w:after="0" w:line="260" w:lineRule="atLeast"/>
      </w:pPr>
    </w:p>
    <w:p w:rsidR="00CF2A70" w:rsidRPr="00CF2A70" w:rsidRDefault="00F916A7" w:rsidP="00CF2A70">
      <w:r>
        <w:rPr>
          <w:noProof/>
        </w:rPr>
        <mc:AlternateContent>
          <mc:Choice Requires="wps">
            <w:drawing>
              <wp:inline distT="0" distB="0" distL="0" distR="0" wp14:anchorId="4A0C5301" wp14:editId="55D92A33">
                <wp:extent cx="5655945" cy="3365500"/>
                <wp:effectExtent l="13970" t="11430" r="6985" b="13970"/>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945" cy="3365500"/>
                        </a:xfrm>
                        <a:prstGeom prst="rect">
                          <a:avLst/>
                        </a:prstGeom>
                        <a:solidFill>
                          <a:schemeClr val="accent1">
                            <a:lumMod val="20000"/>
                            <a:lumOff val="80000"/>
                          </a:schemeClr>
                        </a:solidFill>
                        <a:ln w="9525">
                          <a:solidFill>
                            <a:schemeClr val="accent1">
                              <a:lumMod val="20000"/>
                              <a:lumOff val="80000"/>
                            </a:schemeClr>
                          </a:solidFill>
                          <a:miter lim="800000"/>
                          <a:headEnd/>
                          <a:tailEnd/>
                        </a:ln>
                      </wps:spPr>
                      <wps:txbx>
                        <w:txbxContent>
                          <w:p w:rsidR="00C14038" w:rsidRPr="004560CA" w:rsidRDefault="00C14038" w:rsidP="00CF2A70">
                            <w:pPr>
                              <w:pStyle w:val="Kop3"/>
                              <w:shd w:val="clear" w:color="auto" w:fill="DBE5F1" w:themeFill="accent1" w:themeFillTint="33"/>
                              <w:spacing w:before="0" w:line="260" w:lineRule="atLeast"/>
                              <w:jc w:val="both"/>
                              <w:rPr>
                                <w:sz w:val="18"/>
                              </w:rPr>
                            </w:pPr>
                            <w:bookmarkStart w:id="28" w:name="_Toc404246365"/>
                            <w:r w:rsidRPr="004560CA">
                              <w:rPr>
                                <w:sz w:val="18"/>
                              </w:rPr>
                              <w:t>Vertrouwelijkheid, integriteit en beschikbaarheid</w:t>
                            </w:r>
                            <w:bookmarkEnd w:id="28"/>
                          </w:p>
                          <w:p w:rsidR="00C14038" w:rsidRPr="004560CA" w:rsidRDefault="00C14038" w:rsidP="00CF2A70">
                            <w:pPr>
                              <w:shd w:val="clear" w:color="auto" w:fill="DBE5F1" w:themeFill="accent1" w:themeFillTint="33"/>
                              <w:spacing w:after="0" w:line="260" w:lineRule="atLeast"/>
                              <w:jc w:val="both"/>
                              <w:rPr>
                                <w:sz w:val="18"/>
                              </w:rPr>
                            </w:pPr>
                            <w:r w:rsidRPr="004560CA">
                              <w:rPr>
                                <w:sz w:val="18"/>
                              </w:rPr>
                              <w:t>In de opzet van het basisniveau wordt gerefereerd aan de termen 'vertrouwelijkheid', 'integriteit' en 'beschikbaarheid'. Dit zijn drie algemeen geaccepteerde aspecten van informatiebeveiliging die</w:t>
                            </w:r>
                            <w:r>
                              <w:rPr>
                                <w:sz w:val="18"/>
                              </w:rPr>
                              <w:t xml:space="preserve"> tezamen de betrouwbaarheid van de informatievoorziening bepalen.</w:t>
                            </w:r>
                            <w:r w:rsidRPr="004560CA">
                              <w:rPr>
                                <w:sz w:val="18"/>
                              </w:rPr>
                              <w:t xml:space="preserve"> </w:t>
                            </w:r>
                            <w:r>
                              <w:rPr>
                                <w:sz w:val="18"/>
                              </w:rPr>
                              <w:t xml:space="preserve">Zij worden </w:t>
                            </w:r>
                            <w:r w:rsidRPr="004560CA">
                              <w:rPr>
                                <w:sz w:val="18"/>
                              </w:rPr>
                              <w:t>als volgt gedefinieerd:</w:t>
                            </w:r>
                          </w:p>
                          <w:p w:rsidR="00C14038" w:rsidRPr="004560CA" w:rsidRDefault="00C14038" w:rsidP="00CF2A70">
                            <w:pPr>
                              <w:pStyle w:val="Lijstalinea"/>
                              <w:numPr>
                                <w:ilvl w:val="0"/>
                                <w:numId w:val="19"/>
                              </w:numPr>
                              <w:shd w:val="clear" w:color="auto" w:fill="DBE5F1" w:themeFill="accent1" w:themeFillTint="33"/>
                              <w:spacing w:after="0" w:line="260" w:lineRule="atLeast"/>
                              <w:ind w:left="360"/>
                              <w:jc w:val="both"/>
                              <w:rPr>
                                <w:sz w:val="18"/>
                              </w:rPr>
                            </w:pPr>
                            <w:r w:rsidRPr="004560CA">
                              <w:rPr>
                                <w:b/>
                                <w:sz w:val="18"/>
                              </w:rPr>
                              <w:t xml:space="preserve">Vertrouwelijkheid </w:t>
                            </w:r>
                            <w:r w:rsidRPr="004560CA">
                              <w:rPr>
                                <w:sz w:val="18"/>
                              </w:rPr>
                              <w:t>betreft het waarborgen dat informatie alleen toegankelijk is voor degenen die hiertoe zijn geautoriseerd. Met 'toegang hebben tot' wordt zowel het raadplegen als het muteren, toevoegen en/of vernietigen van informatie bedoeld.</w:t>
                            </w:r>
                          </w:p>
                          <w:p w:rsidR="00C14038" w:rsidRPr="004560CA" w:rsidRDefault="00C14038" w:rsidP="00CF2A70">
                            <w:pPr>
                              <w:pStyle w:val="Lijstalinea"/>
                              <w:numPr>
                                <w:ilvl w:val="0"/>
                                <w:numId w:val="19"/>
                              </w:numPr>
                              <w:shd w:val="clear" w:color="auto" w:fill="DBE5F1" w:themeFill="accent1" w:themeFillTint="33"/>
                              <w:spacing w:after="0" w:line="260" w:lineRule="atLeast"/>
                              <w:ind w:left="360"/>
                              <w:jc w:val="both"/>
                              <w:rPr>
                                <w:sz w:val="18"/>
                              </w:rPr>
                            </w:pPr>
                            <w:r w:rsidRPr="004560CA">
                              <w:rPr>
                                <w:b/>
                                <w:sz w:val="18"/>
                              </w:rPr>
                              <w:t xml:space="preserve">Integriteit </w:t>
                            </w:r>
                            <w:r w:rsidRPr="004560CA">
                              <w:rPr>
                                <w:sz w:val="18"/>
                              </w:rPr>
                              <w:t>betreft het waarborgen van de juistheid, volledigheid en tijdigheid van informatie. Informatie waarvoor de integriteit op orde is, is dus informatie die 'klopt'. Merk op dat een aantasting van vertrouwelijkheid (waardoor onbevoegden bijvoorbeeld mutaties kunnen doorvoeren) kan leiden tot een aantasting van integriteit.</w:t>
                            </w:r>
                          </w:p>
                          <w:p w:rsidR="00C14038" w:rsidRPr="0064244C" w:rsidRDefault="00C14038" w:rsidP="0064244C">
                            <w:pPr>
                              <w:pStyle w:val="Lijstalinea"/>
                              <w:numPr>
                                <w:ilvl w:val="0"/>
                                <w:numId w:val="19"/>
                              </w:numPr>
                              <w:shd w:val="clear" w:color="auto" w:fill="DBE5F1" w:themeFill="accent1" w:themeFillTint="33"/>
                              <w:spacing w:after="0" w:line="260" w:lineRule="atLeast"/>
                              <w:ind w:left="360"/>
                              <w:jc w:val="both"/>
                              <w:rPr>
                                <w:sz w:val="18"/>
                              </w:rPr>
                            </w:pPr>
                            <w:r w:rsidRPr="0064244C">
                              <w:rPr>
                                <w:b/>
                                <w:sz w:val="18"/>
                              </w:rPr>
                              <w:t xml:space="preserve">Beschikbaarheid </w:t>
                            </w:r>
                            <w:r w:rsidRPr="0064244C">
                              <w:rPr>
                                <w:sz w:val="18"/>
                              </w:rPr>
                              <w:t>betreft het waarborgen dat geautoriseerde gebruikers op de juiste momenten toegang hebben tot informatie en aanverwante bedrijfsmiddelen. Aantasting van beschikbaarheid kan bijvoorbeeld leiden tot aantasting van de continuïteit van bedrijfs- en/of ketenprocessen.</w:t>
                            </w:r>
                          </w:p>
                          <w:p w:rsidR="00C14038" w:rsidRDefault="00C14038" w:rsidP="0064244C">
                            <w:pPr>
                              <w:shd w:val="clear" w:color="auto" w:fill="DBE5F1" w:themeFill="accent1" w:themeFillTint="33"/>
                              <w:spacing w:after="0" w:line="260" w:lineRule="atLeast"/>
                              <w:jc w:val="both"/>
                              <w:rPr>
                                <w:sz w:val="18"/>
                              </w:rPr>
                            </w:pPr>
                            <w:r>
                              <w:rPr>
                                <w:sz w:val="18"/>
                              </w:rPr>
                              <w:t xml:space="preserve">Voor elk van deze aspecten moet vastgesteld kunnen worden of er in voldoende mate invulling aan is gegeven. Een vierde aspect dat in dat verband van belang is, is dan ook het aspect van 'controleerbaarheid': </w:t>
                            </w:r>
                          </w:p>
                          <w:p w:rsidR="00C14038" w:rsidRDefault="00C14038" w:rsidP="002D5F2A">
                            <w:pPr>
                              <w:pStyle w:val="Lijstalinea"/>
                              <w:numPr>
                                <w:ilvl w:val="0"/>
                                <w:numId w:val="40"/>
                              </w:numPr>
                              <w:shd w:val="clear" w:color="auto" w:fill="DBE5F1" w:themeFill="accent1" w:themeFillTint="33"/>
                              <w:spacing w:after="0" w:line="260" w:lineRule="atLeast"/>
                              <w:ind w:left="360"/>
                              <w:jc w:val="both"/>
                            </w:pPr>
                            <w:r w:rsidRPr="002D5F2A">
                              <w:rPr>
                                <w:b/>
                                <w:sz w:val="18"/>
                              </w:rPr>
                              <w:t xml:space="preserve">Controleerbaarheid </w:t>
                            </w:r>
                            <w:r w:rsidRPr="002D5F2A">
                              <w:rPr>
                                <w:sz w:val="18"/>
                              </w:rPr>
                              <w:t>betreft het waarborgen dat vastgesteld kan worden dat in voldoende mate invulling is gegeven aan de aspecten vertrouwelijkheid, integriteit en beschikbaarheid. Daartoe moet kennis kunnen worden verkregen over de structurering en werking van de informatievoorziening.</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kstvak 2" o:spid="_x0000_s1026" type="#_x0000_t202" style="width:445.35pt;height: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" fillcolor="#dbe5f1 [660]" strokecolor="#dbe5f1 [660]">
                <v:textbox>
                  <w:txbxContent>
                    <w:p w:rsidR="00C14038" w:rsidRPr="004560CA" w:rsidRDefault="00C14038" w:rsidP="00CF2A70">
                      <w:pPr>
                        <w:pStyle w:val="Kop3"/>
                        <w:shd w:val="clear" w:color="auto" w:fill="DBE5F1" w:themeFill="accent1" w:themeFillTint="33"/>
                        <w:spacing w:before="0" w:line="260" w:lineRule="atLeast"/>
                        <w:jc w:val="both"/>
                        <w:rPr>
                          <w:sz w:val="18"/>
                        </w:rPr>
                      </w:pPr>
                      <w:bookmarkStart w:id="29" w:name="_Toc404246365"/>
                      <w:r w:rsidRPr="004560CA">
                        <w:rPr>
                          <w:sz w:val="18"/>
                        </w:rPr>
                        <w:t>Vertrouwelijkheid, integriteit en beschikbaarheid</w:t>
                      </w:r>
                      <w:bookmarkEnd w:id="29"/>
                    </w:p>
                    <w:p w:rsidR="00C14038" w:rsidRPr="004560CA" w:rsidRDefault="00C14038" w:rsidP="00CF2A70">
                      <w:pPr>
                        <w:shd w:val="clear" w:color="auto" w:fill="DBE5F1" w:themeFill="accent1" w:themeFillTint="33"/>
                        <w:spacing w:after="0" w:line="260" w:lineRule="atLeast"/>
                        <w:jc w:val="both"/>
                        <w:rPr>
                          <w:sz w:val="18"/>
                        </w:rPr>
                      </w:pPr>
                      <w:r w:rsidRPr="004560CA">
                        <w:rPr>
                          <w:sz w:val="18"/>
                        </w:rPr>
                        <w:t>In de opzet van het basisniveau wordt gerefereerd aan de termen 'vertrouwelijkheid', 'integriteit' en 'beschikbaarheid'. Dit zijn drie algemeen geaccepteerde aspecten van informatiebeveiliging die</w:t>
                      </w:r>
                      <w:r>
                        <w:rPr>
                          <w:sz w:val="18"/>
                        </w:rPr>
                        <w:t xml:space="preserve"> tezamen de betrouwbaarheid van de informatievoorziening bepalen.</w:t>
                      </w:r>
                      <w:r w:rsidRPr="004560CA">
                        <w:rPr>
                          <w:sz w:val="18"/>
                        </w:rPr>
                        <w:t xml:space="preserve"> </w:t>
                      </w:r>
                      <w:r>
                        <w:rPr>
                          <w:sz w:val="18"/>
                        </w:rPr>
                        <w:t xml:space="preserve">Zij worden </w:t>
                      </w:r>
                      <w:r w:rsidRPr="004560CA">
                        <w:rPr>
                          <w:sz w:val="18"/>
                        </w:rPr>
                        <w:t>als volgt gedefinieerd:</w:t>
                      </w:r>
                    </w:p>
                    <w:p w:rsidR="00C14038" w:rsidRPr="004560CA" w:rsidRDefault="00C14038" w:rsidP="00CF2A70">
                      <w:pPr>
                        <w:pStyle w:val="Lijstalinea"/>
                        <w:numPr>
                          <w:ilvl w:val="0"/>
                          <w:numId w:val="19"/>
                        </w:numPr>
                        <w:shd w:val="clear" w:color="auto" w:fill="DBE5F1" w:themeFill="accent1" w:themeFillTint="33"/>
                        <w:spacing w:after="0" w:line="260" w:lineRule="atLeast"/>
                        <w:ind w:left="360"/>
                        <w:jc w:val="both"/>
                        <w:rPr>
                          <w:sz w:val="18"/>
                        </w:rPr>
                      </w:pPr>
                      <w:r w:rsidRPr="004560CA">
                        <w:rPr>
                          <w:b/>
                          <w:sz w:val="18"/>
                        </w:rPr>
                        <w:t xml:space="preserve">Vertrouwelijkheid </w:t>
                      </w:r>
                      <w:r w:rsidRPr="004560CA">
                        <w:rPr>
                          <w:sz w:val="18"/>
                        </w:rPr>
                        <w:t>betreft het waarborgen dat informatie alleen toegankelijk is voor degenen die hiertoe zijn geautoriseerd. Met 'toegang hebben tot' wordt zowel het raadplegen als het muteren, toevoegen en/of vernietigen van informatie bedoeld.</w:t>
                      </w:r>
                    </w:p>
                    <w:p w:rsidR="00C14038" w:rsidRPr="004560CA" w:rsidRDefault="00C14038" w:rsidP="00CF2A70">
                      <w:pPr>
                        <w:pStyle w:val="Lijstalinea"/>
                        <w:numPr>
                          <w:ilvl w:val="0"/>
                          <w:numId w:val="19"/>
                        </w:numPr>
                        <w:shd w:val="clear" w:color="auto" w:fill="DBE5F1" w:themeFill="accent1" w:themeFillTint="33"/>
                        <w:spacing w:after="0" w:line="260" w:lineRule="atLeast"/>
                        <w:ind w:left="360"/>
                        <w:jc w:val="both"/>
                        <w:rPr>
                          <w:sz w:val="18"/>
                        </w:rPr>
                      </w:pPr>
                      <w:r w:rsidRPr="004560CA">
                        <w:rPr>
                          <w:b/>
                          <w:sz w:val="18"/>
                        </w:rPr>
                        <w:t xml:space="preserve">Integriteit </w:t>
                      </w:r>
                      <w:r w:rsidRPr="004560CA">
                        <w:rPr>
                          <w:sz w:val="18"/>
                        </w:rPr>
                        <w:t>betreft het waarborgen van de juistheid, volledigheid en tijdigheid van informatie. Informatie waarvoor de integriteit op orde is, is dus informatie die 'klopt'. Merk op dat een aantasting van vertrouwelijkheid (waardoor onbevoegden bijvoorbeeld mutaties kunnen doorvoeren) kan leiden tot een aantasting van integriteit.</w:t>
                      </w:r>
                    </w:p>
                    <w:p w:rsidR="00C14038" w:rsidRPr="0064244C" w:rsidRDefault="00C14038" w:rsidP="0064244C">
                      <w:pPr>
                        <w:pStyle w:val="Lijstalinea"/>
                        <w:numPr>
                          <w:ilvl w:val="0"/>
                          <w:numId w:val="19"/>
                        </w:numPr>
                        <w:shd w:val="clear" w:color="auto" w:fill="DBE5F1" w:themeFill="accent1" w:themeFillTint="33"/>
                        <w:spacing w:after="0" w:line="260" w:lineRule="atLeast"/>
                        <w:ind w:left="360"/>
                        <w:jc w:val="both"/>
                        <w:rPr>
                          <w:sz w:val="18"/>
                        </w:rPr>
                      </w:pPr>
                      <w:r w:rsidRPr="0064244C">
                        <w:rPr>
                          <w:b/>
                          <w:sz w:val="18"/>
                        </w:rPr>
                        <w:t xml:space="preserve">Beschikbaarheid </w:t>
                      </w:r>
                      <w:r w:rsidRPr="0064244C">
                        <w:rPr>
                          <w:sz w:val="18"/>
                        </w:rPr>
                        <w:t>betreft het waarborgen dat geautoriseerde gebruikers op de juiste momenten toegang hebben tot informatie en aanverwante bedrijfsmiddelen. Aantasting van beschikbaarheid kan bijvoorbeeld leiden tot aantasting van de continuïteit van bedrijfs- en/of ketenprocessen.</w:t>
                      </w:r>
                    </w:p>
                    <w:p w:rsidR="00C14038" w:rsidRDefault="00C14038" w:rsidP="0064244C">
                      <w:pPr>
                        <w:shd w:val="clear" w:color="auto" w:fill="DBE5F1" w:themeFill="accent1" w:themeFillTint="33"/>
                        <w:spacing w:after="0" w:line="260" w:lineRule="atLeast"/>
                        <w:jc w:val="both"/>
                        <w:rPr>
                          <w:sz w:val="18"/>
                        </w:rPr>
                      </w:pPr>
                      <w:r>
                        <w:rPr>
                          <w:sz w:val="18"/>
                        </w:rPr>
                        <w:t xml:space="preserve">Voor elk van deze aspecten moet vastgesteld kunnen worden of er in voldoende mate invulling aan is gegeven. Een vierde aspect dat in dat verband van belang is, is dan ook het aspect van 'controleerbaarheid': </w:t>
                      </w:r>
                    </w:p>
                    <w:p w:rsidR="00C14038" w:rsidRDefault="00C14038" w:rsidP="002D5F2A">
                      <w:pPr>
                        <w:pStyle w:val="Lijstalinea"/>
                        <w:numPr>
                          <w:ilvl w:val="0"/>
                          <w:numId w:val="40"/>
                        </w:numPr>
                        <w:shd w:val="clear" w:color="auto" w:fill="DBE5F1" w:themeFill="accent1" w:themeFillTint="33"/>
                        <w:spacing w:after="0" w:line="260" w:lineRule="atLeast"/>
                        <w:ind w:left="360"/>
                        <w:jc w:val="both"/>
                      </w:pPr>
                      <w:r w:rsidRPr="002D5F2A">
                        <w:rPr>
                          <w:b/>
                          <w:sz w:val="18"/>
                        </w:rPr>
                        <w:t xml:space="preserve">Controleerbaarheid </w:t>
                      </w:r>
                      <w:r w:rsidRPr="002D5F2A">
                        <w:rPr>
                          <w:sz w:val="18"/>
                        </w:rPr>
                        <w:t>betreft het waarborgen dat vastgesteld kan worden dat in voldoende mate invulling is gegeven aan de aspecten vertrouwelijkheid, integriteit en beschikbaarheid. Daartoe moet kennis kunnen worden verkregen over de structurering en werking van de informatievoorziening.</w:t>
                      </w:r>
                    </w:p>
                  </w:txbxContent>
                </v:textbox>
                <w10:anchorlock/>
              </v:shape>
            </w:pict>
          </mc:Fallback>
        </mc:AlternateContent>
      </w:r>
    </w:p>
    <w:p w:rsidR="00E8308A" w:rsidRDefault="00E8308A" w:rsidP="00E8308A">
      <w:pPr>
        <w:pStyle w:val="Kop3"/>
        <w:spacing w:before="0" w:line="260" w:lineRule="atLeast"/>
      </w:pPr>
      <w:bookmarkStart w:id="29" w:name="_Toc404246366"/>
      <w:r w:rsidRPr="007F4DCE">
        <w:t xml:space="preserve">Informatiebeveiliging </w:t>
      </w:r>
      <w:r>
        <w:t xml:space="preserve">en privacybescherming </w:t>
      </w:r>
      <w:r w:rsidRPr="007F4DCE">
        <w:t>door</w:t>
      </w:r>
      <w:r w:rsidR="009F1B41">
        <w:t xml:space="preserve"> individuele partijen in het onderwijsdomein</w:t>
      </w:r>
    </w:p>
    <w:p w:rsidR="00E8308A" w:rsidRPr="00A82BA6" w:rsidRDefault="00A82BA6" w:rsidP="00E8308A">
      <w:pPr>
        <w:pStyle w:val="Geenafstand"/>
      </w:pPr>
      <w:r>
        <w:t xml:space="preserve">Van </w:t>
      </w:r>
      <w:r w:rsidR="00186273">
        <w:t xml:space="preserve">alle </w:t>
      </w:r>
      <w:r>
        <w:t>partijen in het onderwijsdomein mag worden verwacht dat zij serieus met informatiebeveiliging omgaan.</w:t>
      </w:r>
      <w:r w:rsidR="00E8308A">
        <w:t xml:space="preserve"> </w:t>
      </w:r>
      <w:r w:rsidR="00AE34F0">
        <w:t>Het</w:t>
      </w:r>
      <w:r w:rsidR="00E8308A">
        <w:t xml:space="preserve"> volgende kader help</w:t>
      </w:r>
      <w:r w:rsidR="00AE34F0">
        <w:t>t</w:t>
      </w:r>
      <w:r w:rsidR="00E8308A">
        <w:t xml:space="preserve"> ons bij de interne organisatie van onze informatiebeveiliging:</w:t>
      </w:r>
    </w:p>
    <w:p w:rsidR="005F2C5B" w:rsidRDefault="005522D0" w:rsidP="005F2C5B">
      <w:pPr>
        <w:pStyle w:val="Lijstalinea"/>
        <w:numPr>
          <w:ilvl w:val="0"/>
          <w:numId w:val="6"/>
        </w:numPr>
        <w:spacing w:after="0" w:line="260" w:lineRule="atLeast"/>
      </w:pPr>
      <w:r w:rsidRPr="00CD3A12">
        <w:rPr>
          <w:b/>
        </w:rPr>
        <w:t xml:space="preserve">Ketenpartijen </w:t>
      </w:r>
      <w:r w:rsidR="00E8308A" w:rsidRPr="00CD3A12">
        <w:rPr>
          <w:b/>
        </w:rPr>
        <w:t xml:space="preserve">conformeren </w:t>
      </w:r>
      <w:r w:rsidRPr="00CD3A12">
        <w:rPr>
          <w:b/>
        </w:rPr>
        <w:t xml:space="preserve">zich </w:t>
      </w:r>
      <w:r w:rsidR="00424149">
        <w:rPr>
          <w:b/>
        </w:rPr>
        <w:t xml:space="preserve">- voor zover mogelijk - </w:t>
      </w:r>
      <w:r w:rsidR="00E8308A" w:rsidRPr="00CD3A12">
        <w:rPr>
          <w:b/>
        </w:rPr>
        <w:t>aan de 'Code voor informatiebeveiliging' (ISO 27001/27002)</w:t>
      </w:r>
      <w:r w:rsidR="00E8308A" w:rsidRPr="00CD3A12">
        <w:rPr>
          <w:b/>
        </w:rPr>
        <w:br/>
      </w:r>
      <w:r w:rsidR="0085418E">
        <w:t>ISO</w:t>
      </w:r>
      <w:r w:rsidR="00EA5B41">
        <w:t>/IEC 27001</w:t>
      </w:r>
      <w:r w:rsidR="00FB617B">
        <w:t>/27002</w:t>
      </w:r>
      <w:r w:rsidR="00EA5B41">
        <w:t xml:space="preserve"> is een internationale standaard die voorziet in eisen voor het vaststellen, implementeren, bijhouden en continu verbeteren van een managementsysteem voor informatiebeveiliging.</w:t>
      </w:r>
      <w:r w:rsidR="005C7341">
        <w:t xml:space="preserve"> Met behulp van </w:t>
      </w:r>
      <w:proofErr w:type="spellStart"/>
      <w:r w:rsidR="005C7341">
        <w:t>beheersdoelstellingen</w:t>
      </w:r>
      <w:proofErr w:type="spellEnd"/>
      <w:r w:rsidR="005C7341">
        <w:t xml:space="preserve"> wordt </w:t>
      </w:r>
      <w:r w:rsidR="006F5671">
        <w:t xml:space="preserve">in deze standaard </w:t>
      </w:r>
      <w:r w:rsidR="005C7341">
        <w:t xml:space="preserve">aangegeven wat </w:t>
      </w:r>
      <w:r w:rsidR="002903FC">
        <w:t xml:space="preserve">er </w:t>
      </w:r>
      <w:r w:rsidR="00F67E52">
        <w:t xml:space="preserve">binnen een organisatie </w:t>
      </w:r>
      <w:r w:rsidR="005C7341">
        <w:t>moet worden bereikt</w:t>
      </w:r>
      <w:r w:rsidR="006F5671">
        <w:t xml:space="preserve"> op het gebied van informatiebeveiliging</w:t>
      </w:r>
      <w:r w:rsidR="005C7341">
        <w:t xml:space="preserve">. </w:t>
      </w:r>
      <w:r w:rsidR="006D45D4">
        <w:t xml:space="preserve">Voorbeelden van </w:t>
      </w:r>
      <w:proofErr w:type="spellStart"/>
      <w:r w:rsidR="006D45D4">
        <w:t>beheersdoelstellingen</w:t>
      </w:r>
      <w:proofErr w:type="spellEnd"/>
      <w:r w:rsidR="006D45D4">
        <w:t xml:space="preserve"> uit ISO zijn het hebben van een beveiligingsbeleid, het uitvoeren van risicoanalyses en het vaststellen van en handelen naar een </w:t>
      </w:r>
      <w:r w:rsidR="006D45D4">
        <w:lastRenderedPageBreak/>
        <w:t>passend be</w:t>
      </w:r>
      <w:r w:rsidR="0074654B">
        <w:t>schermings</w:t>
      </w:r>
      <w:r w:rsidR="006D45D4">
        <w:t xml:space="preserve">niveau van informatie binnen de organisatie. </w:t>
      </w:r>
      <w:r w:rsidR="001E2477">
        <w:t xml:space="preserve">De standaard biedt een reeks van beheersmaatregelen die kunnen worden toegepast om de </w:t>
      </w:r>
      <w:proofErr w:type="spellStart"/>
      <w:r w:rsidR="001E2477">
        <w:t>beheersdoelstelling</w:t>
      </w:r>
      <w:r w:rsidR="00E7158B">
        <w:t>en</w:t>
      </w:r>
      <w:proofErr w:type="spellEnd"/>
      <w:r w:rsidR="001E2477">
        <w:t xml:space="preserve"> te realiseren.</w:t>
      </w:r>
      <w:r w:rsidR="001E2477">
        <w:br/>
        <w:t xml:space="preserve">Voor </w:t>
      </w:r>
      <w:r w:rsidR="00E8308A" w:rsidRPr="007F4DCE">
        <w:t xml:space="preserve">het </w:t>
      </w:r>
      <w:r w:rsidR="001E2477">
        <w:t xml:space="preserve">in het onderwijsdomein gewenste </w:t>
      </w:r>
      <w:r w:rsidR="00E8308A" w:rsidRPr="007F4DCE">
        <w:t xml:space="preserve">basisniveau gelden </w:t>
      </w:r>
      <w:r w:rsidR="00E8308A">
        <w:t xml:space="preserve">de </w:t>
      </w:r>
      <w:proofErr w:type="spellStart"/>
      <w:r w:rsidR="001E2477">
        <w:t>beheersdoelstellingen</w:t>
      </w:r>
      <w:proofErr w:type="spellEnd"/>
      <w:r w:rsidR="001E2477">
        <w:t xml:space="preserve"> uit</w:t>
      </w:r>
      <w:r w:rsidR="00581918">
        <w:t xml:space="preserve"> </w:t>
      </w:r>
      <w:r w:rsidR="001E2477">
        <w:t>ISO/IEC 27001/27002 onverkort</w:t>
      </w:r>
      <w:r w:rsidR="00E8308A" w:rsidRPr="007F4DCE">
        <w:t xml:space="preserve"> als kaders voor informatiebeveiliging door individuele ketenpartijen</w:t>
      </w:r>
      <w:r w:rsidR="00590BEF">
        <w:t>.</w:t>
      </w:r>
      <w:r w:rsidR="001D4BBA">
        <w:t xml:space="preserve"> </w:t>
      </w:r>
      <w:r w:rsidR="00C85731">
        <w:t>Een overzicht van d</w:t>
      </w:r>
      <w:r w:rsidR="001D4BBA">
        <w:t>e</w:t>
      </w:r>
      <w:r w:rsidR="00C85731">
        <w:t>ze</w:t>
      </w:r>
      <w:r w:rsidR="001D4BBA">
        <w:t xml:space="preserve"> doelstellingen </w:t>
      </w:r>
      <w:r w:rsidR="00C85731">
        <w:t xml:space="preserve">is </w:t>
      </w:r>
      <w:r w:rsidR="001D4BBA">
        <w:t xml:space="preserve">opgenomen in de </w:t>
      </w:r>
      <w:r w:rsidR="00411019">
        <w:fldChar w:fldCharType="begin"/>
      </w:r>
      <w:r w:rsidR="006D45D4">
        <w:instrText xml:space="preserve"> REF _Ref411285789 \h </w:instrText>
      </w:r>
      <w:r w:rsidR="00411019">
        <w:fldChar w:fldCharType="separate"/>
      </w:r>
      <w:r w:rsidR="00AF57FD">
        <w:t>Bijlage: Doelstellingen uit ISO/IEC 27001/27002</w:t>
      </w:r>
      <w:r w:rsidR="00411019">
        <w:fldChar w:fldCharType="end"/>
      </w:r>
      <w:r w:rsidR="006D45D4">
        <w:t>.</w:t>
      </w:r>
    </w:p>
    <w:p w:rsidR="005F2C5B" w:rsidRPr="005F2C5B" w:rsidRDefault="005F2C5B" w:rsidP="006C6C2A">
      <w:pPr>
        <w:spacing w:after="0" w:line="260" w:lineRule="atLeast"/>
      </w:pPr>
    </w:p>
    <w:p w:rsidR="00063966" w:rsidRDefault="00F87D9C" w:rsidP="00FC50AD">
      <w:pPr>
        <w:pStyle w:val="Kop3"/>
        <w:spacing w:before="0" w:line="260" w:lineRule="atLeast"/>
      </w:pPr>
      <w:proofErr w:type="spellStart"/>
      <w:r w:rsidRPr="00D80BA6">
        <w:t>Ketenbrede</w:t>
      </w:r>
      <w:proofErr w:type="spellEnd"/>
      <w:r w:rsidRPr="00D80BA6">
        <w:t xml:space="preserve"> waarborging van vertrouwelijkheid en integriteit</w:t>
      </w:r>
      <w:bookmarkEnd w:id="29"/>
    </w:p>
    <w:p w:rsidR="0082547C" w:rsidRPr="0082547C" w:rsidRDefault="0082547C" w:rsidP="00186273">
      <w:pPr>
        <w:pStyle w:val="Geenafstand"/>
      </w:pPr>
      <w:r>
        <w:t xml:space="preserve">We zijn als onderwijsketen gezamenlijk verantwoordelijk voor de vertrouwelijkheid en integriteit van informatie die door de keten heen gebruikt wordt. Eén zwakke schakel kan alle maatregelen elders in de keten teniet doen. De volgende kaders helpen ons om de vertrouwelijkheid en integriteit </w:t>
      </w:r>
      <w:proofErr w:type="spellStart"/>
      <w:r>
        <w:t>ketenbreed</w:t>
      </w:r>
      <w:proofErr w:type="spellEnd"/>
      <w:r>
        <w:t xml:space="preserve"> te waarborgen:</w:t>
      </w:r>
    </w:p>
    <w:p w:rsidR="0008648F" w:rsidRPr="00D80BA6" w:rsidRDefault="006C3950" w:rsidP="00FC50AD">
      <w:pPr>
        <w:pStyle w:val="Lijstalinea"/>
        <w:numPr>
          <w:ilvl w:val="0"/>
          <w:numId w:val="6"/>
        </w:numPr>
        <w:spacing w:after="0" w:line="260" w:lineRule="atLeast"/>
      </w:pPr>
      <w:r>
        <w:rPr>
          <w:b/>
        </w:rPr>
        <w:t>Ketenpartijen</w:t>
      </w:r>
      <w:r w:rsidR="0082547C">
        <w:rPr>
          <w:b/>
        </w:rPr>
        <w:t xml:space="preserve"> v</w:t>
      </w:r>
      <w:r w:rsidR="009F13E6" w:rsidRPr="009F13E6">
        <w:rPr>
          <w:b/>
        </w:rPr>
        <w:t>oorkom</w:t>
      </w:r>
      <w:r w:rsidR="0082547C">
        <w:rPr>
          <w:b/>
        </w:rPr>
        <w:t>en</w:t>
      </w:r>
      <w:r w:rsidR="009F13E6" w:rsidRPr="009F13E6">
        <w:rPr>
          <w:b/>
        </w:rPr>
        <w:t xml:space="preserve"> onrechtmatige toegang </w:t>
      </w:r>
      <w:r w:rsidR="0082547C">
        <w:rPr>
          <w:b/>
        </w:rPr>
        <w:t xml:space="preserve">tot </w:t>
      </w:r>
      <w:r w:rsidR="009F13E6" w:rsidRPr="009F13E6">
        <w:rPr>
          <w:b/>
        </w:rPr>
        <w:t>of verspreidin</w:t>
      </w:r>
      <w:r w:rsidR="0082547C">
        <w:rPr>
          <w:b/>
        </w:rPr>
        <w:t>g van gegevens</w:t>
      </w:r>
      <w:r w:rsidR="009F13E6">
        <w:br/>
      </w:r>
      <w:proofErr w:type="spellStart"/>
      <w:r w:rsidR="0008648F" w:rsidRPr="00D80BA6">
        <w:t>Gegevens</w:t>
      </w:r>
      <w:proofErr w:type="spellEnd"/>
      <w:r w:rsidR="0008648F" w:rsidRPr="00D80BA6">
        <w:t xml:space="preserve"> worden zo opgeslagen en getransporteerd dat onrechtmatige toegang of verspreiding onmogelijk wordt gemaakt.</w:t>
      </w:r>
      <w:r w:rsidR="0082547C">
        <w:t xml:space="preserve"> </w:t>
      </w:r>
      <w:r w:rsidR="00CF6411">
        <w:t>Daar</w:t>
      </w:r>
      <w:r w:rsidR="00A13036">
        <w:t>bij</w:t>
      </w:r>
      <w:r w:rsidR="0082547C">
        <w:t xml:space="preserve"> worden maatregelen genomen die passen bij de vertrouwelijkheidsclassificatie van die gegevens.</w:t>
      </w:r>
    </w:p>
    <w:p w:rsidR="0008648F" w:rsidRPr="00D80BA6" w:rsidRDefault="004558A8" w:rsidP="00FC50AD">
      <w:pPr>
        <w:pStyle w:val="Lijstalinea"/>
        <w:numPr>
          <w:ilvl w:val="0"/>
          <w:numId w:val="6"/>
        </w:numPr>
        <w:spacing w:after="0" w:line="260" w:lineRule="atLeast"/>
      </w:pPr>
      <w:r>
        <w:rPr>
          <w:b/>
        </w:rPr>
        <w:t>Ketenpartijen</w:t>
      </w:r>
      <w:r w:rsidR="0082547C" w:rsidRPr="0082547C">
        <w:rPr>
          <w:b/>
        </w:rPr>
        <w:t xml:space="preserve"> v</w:t>
      </w:r>
      <w:r w:rsidR="009F13E6" w:rsidRPr="0082547C">
        <w:rPr>
          <w:b/>
        </w:rPr>
        <w:t>oorkom</w:t>
      </w:r>
      <w:r w:rsidR="0082547C" w:rsidRPr="0082547C">
        <w:rPr>
          <w:b/>
        </w:rPr>
        <w:t>en</w:t>
      </w:r>
      <w:r w:rsidR="009F13E6" w:rsidRPr="0082547C">
        <w:rPr>
          <w:b/>
        </w:rPr>
        <w:t xml:space="preserve"> aantasting van </w:t>
      </w:r>
      <w:r w:rsidR="0082547C" w:rsidRPr="0082547C">
        <w:rPr>
          <w:b/>
        </w:rPr>
        <w:t xml:space="preserve">de </w:t>
      </w:r>
      <w:r w:rsidR="009F13E6" w:rsidRPr="0082547C">
        <w:rPr>
          <w:b/>
        </w:rPr>
        <w:t>integriteit</w:t>
      </w:r>
      <w:r w:rsidR="0082547C" w:rsidRPr="0082547C">
        <w:rPr>
          <w:b/>
        </w:rPr>
        <w:t xml:space="preserve"> van gegevens</w:t>
      </w:r>
      <w:r w:rsidR="009F13E6" w:rsidRPr="0082547C">
        <w:rPr>
          <w:b/>
        </w:rPr>
        <w:t xml:space="preserve"> </w:t>
      </w:r>
      <w:r w:rsidR="009F13E6">
        <w:br/>
      </w:r>
      <w:proofErr w:type="spellStart"/>
      <w:r w:rsidR="0008648F" w:rsidRPr="00D80BA6">
        <w:t>Gegevens</w:t>
      </w:r>
      <w:proofErr w:type="spellEnd"/>
      <w:r w:rsidR="0008648F" w:rsidRPr="00D80BA6">
        <w:t xml:space="preserve"> worden zo opgeslagen en getransporteerd dat </w:t>
      </w:r>
      <w:r w:rsidR="005372E8" w:rsidRPr="00D80BA6">
        <w:t xml:space="preserve">aantasting van de juistheid, volledigheid en/of tijdigheid </w:t>
      </w:r>
      <w:r w:rsidR="0008648F" w:rsidRPr="00D80BA6">
        <w:t>onmogelijk worden gemaakt.</w:t>
      </w:r>
      <w:r w:rsidR="0082547C">
        <w:t xml:space="preserve"> </w:t>
      </w:r>
      <w:r w:rsidR="00A13036">
        <w:t>Daarbij</w:t>
      </w:r>
      <w:r w:rsidR="0082547C" w:rsidRPr="00D80BA6">
        <w:t xml:space="preserve"> </w:t>
      </w:r>
      <w:r w:rsidR="0082547C">
        <w:t>worden maatregelen genomen die passen bij de integriteitsclassificatie</w:t>
      </w:r>
      <w:r w:rsidR="0082547C" w:rsidRPr="00D80BA6">
        <w:t xml:space="preserve"> </w:t>
      </w:r>
      <w:r w:rsidR="0082547C">
        <w:t>van die gegevens.</w:t>
      </w:r>
    </w:p>
    <w:p w:rsidR="0008648F" w:rsidRPr="00D80BA6" w:rsidRDefault="004558A8" w:rsidP="00FC50AD">
      <w:pPr>
        <w:pStyle w:val="Lijstalinea"/>
        <w:numPr>
          <w:ilvl w:val="0"/>
          <w:numId w:val="6"/>
        </w:numPr>
        <w:spacing w:after="0" w:line="260" w:lineRule="atLeast"/>
      </w:pPr>
      <w:r>
        <w:rPr>
          <w:b/>
        </w:rPr>
        <w:t>Ketenpartijen</w:t>
      </w:r>
      <w:r w:rsidR="0082547C">
        <w:rPr>
          <w:b/>
        </w:rPr>
        <w:t xml:space="preserve"> zorgen dat h</w:t>
      </w:r>
      <w:r w:rsidR="009F13E6" w:rsidRPr="009F13E6">
        <w:rPr>
          <w:b/>
        </w:rPr>
        <w:t>andelingen herleidbaar</w:t>
      </w:r>
      <w:r w:rsidR="0082547C">
        <w:rPr>
          <w:b/>
        </w:rPr>
        <w:t xml:space="preserve"> zijn</w:t>
      </w:r>
      <w:r w:rsidR="009F13E6">
        <w:br/>
      </w:r>
      <w:r w:rsidR="0008648F" w:rsidRPr="00D80BA6">
        <w:t>Handelingen rondom gegevens zijn te herleiden naar personen</w:t>
      </w:r>
      <w:r w:rsidR="0082547C">
        <w:t>.</w:t>
      </w:r>
    </w:p>
    <w:p w:rsidR="007B29E3" w:rsidRPr="00D80BA6" w:rsidRDefault="003419D4" w:rsidP="00FC50AD">
      <w:pPr>
        <w:pStyle w:val="Lijstalinea"/>
        <w:numPr>
          <w:ilvl w:val="0"/>
          <w:numId w:val="6"/>
        </w:numPr>
        <w:spacing w:after="0" w:line="260" w:lineRule="atLeast"/>
      </w:pPr>
      <w:r w:rsidRPr="00D92C57">
        <w:rPr>
          <w:b/>
        </w:rPr>
        <w:t xml:space="preserve">Ketenpartijen </w:t>
      </w:r>
      <w:r w:rsidR="00D96961" w:rsidRPr="00D92C57">
        <w:rPr>
          <w:b/>
        </w:rPr>
        <w:t>waarborgen de toewijzing van</w:t>
      </w:r>
      <w:r w:rsidR="009F13E6" w:rsidRPr="009F13E6">
        <w:rPr>
          <w:b/>
        </w:rPr>
        <w:t xml:space="preserve"> persoonsgebonden gegevens</w:t>
      </w:r>
      <w:r w:rsidR="009F13E6" w:rsidRPr="00D80BA6">
        <w:t xml:space="preserve"> </w:t>
      </w:r>
      <w:r w:rsidR="009F13E6">
        <w:br/>
      </w:r>
      <w:r w:rsidR="0095412A">
        <w:t xml:space="preserve">In elk ketenproces zijn waarborgen geïmplementeerd waardoor </w:t>
      </w:r>
      <w:r w:rsidR="00453C93">
        <w:t>binnen</w:t>
      </w:r>
      <w:r w:rsidR="0095412A">
        <w:t xml:space="preserve"> dat proces met voldoende mate vastgesteld </w:t>
      </w:r>
      <w:r w:rsidR="00D92C57">
        <w:t>en verzekerd kan worden</w:t>
      </w:r>
      <w:r w:rsidR="0095412A">
        <w:t xml:space="preserve"> dat</w:t>
      </w:r>
      <w:r w:rsidR="007B29E3" w:rsidRPr="00D80BA6">
        <w:t xml:space="preserve"> persoonsgebonden gegevens </w:t>
      </w:r>
      <w:r w:rsidR="00683EF5" w:rsidRPr="00D80BA6">
        <w:t>aan</w:t>
      </w:r>
      <w:r w:rsidR="007B29E3" w:rsidRPr="00D80BA6">
        <w:t xml:space="preserve"> de juiste persoon zijn </w:t>
      </w:r>
      <w:r w:rsidR="00683EF5" w:rsidRPr="00D80BA6">
        <w:t>toegewezen</w:t>
      </w:r>
      <w:r w:rsidR="007B29E3" w:rsidRPr="00D80BA6">
        <w:t>.</w:t>
      </w:r>
      <w:r w:rsidR="0095412A">
        <w:t xml:space="preserve"> </w:t>
      </w:r>
    </w:p>
    <w:p w:rsidR="007B29E3" w:rsidRPr="00D80BA6" w:rsidRDefault="000D52CA" w:rsidP="00FC50AD">
      <w:pPr>
        <w:pStyle w:val="Lijstalinea"/>
        <w:numPr>
          <w:ilvl w:val="0"/>
          <w:numId w:val="6"/>
        </w:numPr>
        <w:spacing w:after="0" w:line="260" w:lineRule="atLeast"/>
      </w:pPr>
      <w:r w:rsidRPr="00D92C57">
        <w:rPr>
          <w:b/>
        </w:rPr>
        <w:t>Ketenpartijen</w:t>
      </w:r>
      <w:r w:rsidR="0082547C">
        <w:rPr>
          <w:b/>
        </w:rPr>
        <w:t xml:space="preserve"> voeren p</w:t>
      </w:r>
      <w:r w:rsidR="009F13E6" w:rsidRPr="009F13E6">
        <w:rPr>
          <w:b/>
        </w:rPr>
        <w:t xml:space="preserve">roactief technisch beheer </w:t>
      </w:r>
      <w:r w:rsidR="0082547C">
        <w:rPr>
          <w:b/>
        </w:rPr>
        <w:t>uit</w:t>
      </w:r>
      <w:r w:rsidR="009F13E6">
        <w:br/>
      </w:r>
      <w:r>
        <w:t>De in de onderwijsketen gebruikte s</w:t>
      </w:r>
      <w:r w:rsidR="007B29E3" w:rsidRPr="00D80BA6">
        <w:t>ystemen worden proactief technisch beheerd.</w:t>
      </w:r>
      <w:r w:rsidR="009B2554">
        <w:t xml:space="preserve"> Onderdeel van proactief technisch beheer is het </w:t>
      </w:r>
      <w:r>
        <w:t>bewust afwegen van risico's van het gebruik</w:t>
      </w:r>
      <w:r w:rsidR="009B2554">
        <w:t xml:space="preserve"> van verouderde software.</w:t>
      </w:r>
    </w:p>
    <w:p w:rsidR="007B29E3" w:rsidRPr="00D80BA6" w:rsidRDefault="0067398F" w:rsidP="00FC50AD">
      <w:pPr>
        <w:pStyle w:val="Lijstalinea"/>
        <w:numPr>
          <w:ilvl w:val="0"/>
          <w:numId w:val="6"/>
        </w:numPr>
        <w:spacing w:after="0" w:line="260" w:lineRule="atLeast"/>
      </w:pPr>
      <w:r w:rsidRPr="00D92C57">
        <w:rPr>
          <w:b/>
        </w:rPr>
        <w:t>Ketenpartijen</w:t>
      </w:r>
      <w:r w:rsidR="0082547C">
        <w:rPr>
          <w:b/>
        </w:rPr>
        <w:t xml:space="preserve"> g</w:t>
      </w:r>
      <w:r w:rsidR="009F13E6" w:rsidRPr="009F13E6">
        <w:rPr>
          <w:b/>
        </w:rPr>
        <w:t>ebruik</w:t>
      </w:r>
      <w:r w:rsidR="0082547C">
        <w:rPr>
          <w:b/>
        </w:rPr>
        <w:t>en</w:t>
      </w:r>
      <w:r w:rsidR="009F13E6" w:rsidRPr="009F13E6">
        <w:rPr>
          <w:b/>
        </w:rPr>
        <w:t xml:space="preserve"> technieken voor veilig programmeren </w:t>
      </w:r>
      <w:r w:rsidR="009F13E6">
        <w:br/>
      </w:r>
      <w:r w:rsidR="001C2DF5">
        <w:t>De in</w:t>
      </w:r>
      <w:r w:rsidR="007B29E3" w:rsidRPr="00D80BA6">
        <w:t xml:space="preserve"> de </w:t>
      </w:r>
      <w:r w:rsidR="001C2DF5">
        <w:t>onderwijsketen gebruikte systemen</w:t>
      </w:r>
      <w:r w:rsidR="007B29E3" w:rsidRPr="00D80BA6">
        <w:t>, worden ontwikkeld met gebruikmaking van technieken voor veilig programmeren.</w:t>
      </w:r>
      <w:r w:rsidR="001C2DF5">
        <w:t xml:space="preserve"> De gebruikte technieken passen bij de benodigde vertrouwelijkheids- integriteits- en beschikbaarheidsniveaus.</w:t>
      </w:r>
    </w:p>
    <w:p w:rsidR="0082547C" w:rsidRDefault="006939CB" w:rsidP="00FC50AD">
      <w:pPr>
        <w:pStyle w:val="Lijstalinea"/>
        <w:numPr>
          <w:ilvl w:val="0"/>
          <w:numId w:val="6"/>
        </w:numPr>
        <w:spacing w:after="0" w:line="260" w:lineRule="atLeast"/>
      </w:pPr>
      <w:r w:rsidRPr="00D92C57">
        <w:rPr>
          <w:b/>
        </w:rPr>
        <w:t>Ketenpartijen</w:t>
      </w:r>
      <w:r w:rsidR="0082547C" w:rsidRPr="0082547C">
        <w:rPr>
          <w:b/>
        </w:rPr>
        <w:t xml:space="preserve"> bewaren g</w:t>
      </w:r>
      <w:r w:rsidR="009F13E6" w:rsidRPr="0082547C">
        <w:rPr>
          <w:b/>
        </w:rPr>
        <w:t>egevens niet langer dan strikt noodzakelijk</w:t>
      </w:r>
      <w:r w:rsidR="0082547C" w:rsidRPr="0082547C">
        <w:rPr>
          <w:b/>
        </w:rPr>
        <w:br/>
      </w:r>
      <w:r w:rsidR="0082547C">
        <w:t xml:space="preserve">Zodra het, vanuit het oogpunt van (keten)procesuitvoering, mogelijk is worden gegevens direct vernietigd. Wanneer gegevens in een andere (primaire) bron beschikbaar zijn, </w:t>
      </w:r>
      <w:r w:rsidR="00887C1E">
        <w:t xml:space="preserve">worden de gegevens </w:t>
      </w:r>
      <w:r w:rsidR="00D83929">
        <w:t xml:space="preserve">in beginsel </w:t>
      </w:r>
      <w:r w:rsidR="00887C1E">
        <w:t xml:space="preserve">uit die bron geraadpleegd; het 'lokaal' opslaan van die gegevens wordt </w:t>
      </w:r>
      <w:r w:rsidR="00D83929">
        <w:t xml:space="preserve">zo veel </w:t>
      </w:r>
      <w:r w:rsidR="00887C1E">
        <w:t xml:space="preserve">mogelijk vermeden. </w:t>
      </w:r>
      <w:r w:rsidR="0082547C">
        <w:t xml:space="preserve">Daar waar de wet restricties </w:t>
      </w:r>
      <w:r w:rsidR="00887C1E">
        <w:t xml:space="preserve">of verplichtingen </w:t>
      </w:r>
      <w:r w:rsidR="0082547C">
        <w:t xml:space="preserve">oplegt </w:t>
      </w:r>
      <w:r w:rsidR="00887C1E">
        <w:t xml:space="preserve">met betrekking tot bewaar- en archieftermijnen </w:t>
      </w:r>
      <w:r w:rsidR="0082547C">
        <w:t>worden die gevolgd.</w:t>
      </w:r>
    </w:p>
    <w:p w:rsidR="004B2A85" w:rsidRDefault="00273D3C" w:rsidP="00FC50AD">
      <w:pPr>
        <w:pStyle w:val="Lijstalinea"/>
        <w:numPr>
          <w:ilvl w:val="0"/>
          <w:numId w:val="6"/>
        </w:numPr>
        <w:spacing w:after="0" w:line="260" w:lineRule="atLeast"/>
      </w:pPr>
      <w:r w:rsidRPr="00D92C57">
        <w:rPr>
          <w:b/>
        </w:rPr>
        <w:t>Ketenpartijen</w:t>
      </w:r>
      <w:r w:rsidR="004B2A85">
        <w:rPr>
          <w:b/>
        </w:rPr>
        <w:t xml:space="preserve"> voorkomen ongewenste traceerbaarheid en vindbaarheid van personen</w:t>
      </w:r>
      <w:r w:rsidR="004B2A85">
        <w:rPr>
          <w:b/>
        </w:rPr>
        <w:br/>
      </w:r>
      <w:r w:rsidR="004B2A85">
        <w:t xml:space="preserve">In ontwerpen van processen en informatiesystemen wordt uitgegaan van het principe van 'privacy </w:t>
      </w:r>
      <w:proofErr w:type="spellStart"/>
      <w:r w:rsidR="004B2A85">
        <w:t>by</w:t>
      </w:r>
      <w:proofErr w:type="spellEnd"/>
      <w:r w:rsidR="004B2A85">
        <w:t xml:space="preserve"> design', en er is aandacht voor </w:t>
      </w:r>
      <w:proofErr w:type="spellStart"/>
      <w:r w:rsidR="004B2A85">
        <w:t>privacybevorderende</w:t>
      </w:r>
      <w:proofErr w:type="spellEnd"/>
      <w:r w:rsidR="004B2A85">
        <w:t xml:space="preserve"> voorzieningen zoals een nummervoorziening die het gebruik van pseudoniemen in de onderwijsketen mogelijk maakt.</w:t>
      </w:r>
      <w:r w:rsidR="003A7AD6">
        <w:t xml:space="preserve"> Persoonsgegevens worden slechts gebruikt indien dat strikt noodzakelijk is.</w:t>
      </w:r>
      <w:r w:rsidR="007C7123">
        <w:t xml:space="preserve"> </w:t>
      </w:r>
    </w:p>
    <w:p w:rsidR="005F2C5B" w:rsidRPr="00D80BA6" w:rsidRDefault="005F2C5B" w:rsidP="005F2C5B">
      <w:pPr>
        <w:spacing w:after="0" w:line="260" w:lineRule="atLeast"/>
      </w:pPr>
    </w:p>
    <w:p w:rsidR="00F35A0E" w:rsidRDefault="00F35A0E" w:rsidP="00FC50AD">
      <w:pPr>
        <w:pStyle w:val="Kop3"/>
        <w:spacing w:before="0" w:line="260" w:lineRule="atLeast"/>
      </w:pPr>
      <w:bookmarkStart w:id="30" w:name="_Toc404246367"/>
      <w:proofErr w:type="spellStart"/>
      <w:r w:rsidRPr="00D80BA6">
        <w:t>Ketenbrede</w:t>
      </w:r>
      <w:proofErr w:type="spellEnd"/>
      <w:r w:rsidRPr="00D80BA6">
        <w:t xml:space="preserve"> waarborging van beschikbaarheid in ketenprocessen</w:t>
      </w:r>
      <w:bookmarkEnd w:id="30"/>
    </w:p>
    <w:p w:rsidR="00A82BA6" w:rsidRPr="00A82BA6" w:rsidRDefault="00A82BA6" w:rsidP="00A82BA6">
      <w:r>
        <w:t>In de uitvoering van ketenprocessen zijn we afhankelijk van andere partijen in de keten. De volgende kaders helpen ons om een tijdige en juiste uitvoering van een ketenproces te bewerkstelligen:</w:t>
      </w:r>
    </w:p>
    <w:p w:rsidR="0008648F" w:rsidRPr="00D80BA6" w:rsidRDefault="006C6380" w:rsidP="00FC50AD">
      <w:pPr>
        <w:pStyle w:val="Lijstalinea"/>
        <w:numPr>
          <w:ilvl w:val="0"/>
          <w:numId w:val="6"/>
        </w:numPr>
        <w:spacing w:after="0" w:line="260" w:lineRule="atLeast"/>
      </w:pPr>
      <w:r w:rsidRPr="006C6380">
        <w:rPr>
          <w:b/>
        </w:rPr>
        <w:lastRenderedPageBreak/>
        <w:t>Ketenpartijen zorgen ervoor dat de juiste gegevens op het juiste moment op de juiste plaats beschikbaar</w:t>
      </w:r>
      <w:r w:rsidR="008158E3" w:rsidRPr="006C6380">
        <w:rPr>
          <w:b/>
        </w:rPr>
        <w:br/>
      </w:r>
      <w:r>
        <w:t xml:space="preserve">De verschillende schakels in de keten zorgen ervoor dat </w:t>
      </w:r>
      <w:r w:rsidR="00795946">
        <w:t>de juiste gegevens op het juiste moment op de juiste plaats beschikbaar zijn.</w:t>
      </w:r>
    </w:p>
    <w:p w:rsidR="0008648F" w:rsidRDefault="00795946" w:rsidP="00FC50AD">
      <w:pPr>
        <w:pStyle w:val="Lijstalinea"/>
        <w:numPr>
          <w:ilvl w:val="0"/>
          <w:numId w:val="6"/>
        </w:numPr>
        <w:spacing w:after="0" w:line="260" w:lineRule="atLeast"/>
      </w:pPr>
      <w:r>
        <w:rPr>
          <w:b/>
        </w:rPr>
        <w:t>Ketenpartijen waarborgen de continuïteit van dienstverlening (ook bij calamiteiten)</w:t>
      </w:r>
      <w:r w:rsidR="00A71CCD">
        <w:rPr>
          <w:b/>
        </w:rPr>
        <w:t xml:space="preserve"> </w:t>
      </w:r>
      <w:r w:rsidR="008158E3">
        <w:rPr>
          <w:b/>
        </w:rPr>
        <w:br/>
      </w:r>
      <w:r w:rsidR="00CE0DC4" w:rsidRPr="00D80BA6">
        <w:t>Voor g</w:t>
      </w:r>
      <w:r w:rsidR="0008648F" w:rsidRPr="00D80BA6">
        <w:t xml:space="preserve">egevens waarvoor </w:t>
      </w:r>
      <w:r w:rsidR="00205752">
        <w:t xml:space="preserve">onderling </w:t>
      </w:r>
      <w:r w:rsidR="0008648F" w:rsidRPr="00D80BA6">
        <w:t xml:space="preserve">een kritieke tijdsafhankelijke relatie bestaat, </w:t>
      </w:r>
      <w:r w:rsidR="00205752">
        <w:t>worden maatregelen genomen die de continuïteit van de dienstverlening waarborgen.</w:t>
      </w:r>
    </w:p>
    <w:p w:rsidR="005F2C5B" w:rsidRDefault="005F2C5B" w:rsidP="005F2C5B">
      <w:pPr>
        <w:spacing w:after="0" w:line="260" w:lineRule="atLeast"/>
      </w:pPr>
    </w:p>
    <w:p w:rsidR="005F2C5B" w:rsidRDefault="005F2C5B" w:rsidP="005F2C5B">
      <w:pPr>
        <w:pStyle w:val="Kop3"/>
      </w:pPr>
      <w:proofErr w:type="spellStart"/>
      <w:r>
        <w:t>Ketenbrede</w:t>
      </w:r>
      <w:proofErr w:type="spellEnd"/>
      <w:r>
        <w:t xml:space="preserve"> waarborging van controleerbaarheid</w:t>
      </w:r>
    </w:p>
    <w:p w:rsidR="005F2C5B" w:rsidRPr="005F2C5B" w:rsidRDefault="002D5F2A" w:rsidP="006C6C2A">
      <w:pPr>
        <w:pStyle w:val="Geenafstand"/>
      </w:pPr>
      <w:r>
        <w:t xml:space="preserve">Als we in het onderwijs als </w:t>
      </w:r>
      <w:r w:rsidR="00B920A8">
        <w:t xml:space="preserve">een veilige en </w:t>
      </w:r>
      <w:proofErr w:type="spellStart"/>
      <w:r w:rsidR="00B920A8">
        <w:t>privacybewuste</w:t>
      </w:r>
      <w:proofErr w:type="spellEnd"/>
      <w:r w:rsidR="00B920A8">
        <w:t xml:space="preserve"> </w:t>
      </w:r>
      <w:r>
        <w:t xml:space="preserve">keten willen opereren, moeten we vast kunnen stellen </w:t>
      </w:r>
      <w:r w:rsidR="005178FE">
        <w:t xml:space="preserve">of de maatregelen </w:t>
      </w:r>
      <w:r w:rsidR="00680917">
        <w:t xml:space="preserve">door </w:t>
      </w:r>
      <w:r w:rsidR="005178FE">
        <w:t xml:space="preserve">de keten </w:t>
      </w:r>
      <w:r w:rsidR="00680917">
        <w:t xml:space="preserve">heen </w:t>
      </w:r>
      <w:r w:rsidR="005178FE">
        <w:t xml:space="preserve">genomen </w:t>
      </w:r>
      <w:r w:rsidR="00680917">
        <w:t xml:space="preserve">zijn, </w:t>
      </w:r>
      <w:r w:rsidR="005178FE">
        <w:t>afdoende zijn.</w:t>
      </w:r>
      <w:r w:rsidR="00B31864">
        <w:t xml:space="preserve"> De volgende kaders helpen ons om de benodigde controleerbaarheid te bewerkstelligen</w:t>
      </w:r>
      <w:r w:rsidR="006E73C2">
        <w:t xml:space="preserve"> </w:t>
      </w:r>
      <w:r w:rsidR="00BA63A7">
        <w:t>en bij het elkaar kunnen aanspreken op het naleven van de in het basisniveau opgenomen kaders</w:t>
      </w:r>
      <w:r w:rsidR="00B31864">
        <w:t>:</w:t>
      </w:r>
    </w:p>
    <w:p w:rsidR="00F66ECF" w:rsidRDefault="00061DC5" w:rsidP="00A46D65">
      <w:pPr>
        <w:pStyle w:val="Lijstalinea"/>
        <w:numPr>
          <w:ilvl w:val="0"/>
          <w:numId w:val="6"/>
        </w:numPr>
      </w:pPr>
      <w:bookmarkStart w:id="31" w:name="_Toc404246368"/>
      <w:bookmarkStart w:id="32" w:name="_Ref410766372"/>
      <w:r>
        <w:rPr>
          <w:b/>
        </w:rPr>
        <w:t>Ketenpartijen</w:t>
      </w:r>
      <w:r w:rsidR="00DD4A88">
        <w:rPr>
          <w:b/>
        </w:rPr>
        <w:t xml:space="preserve"> maken duidelijk welke eisen en verwachtingen </w:t>
      </w:r>
      <w:r>
        <w:rPr>
          <w:b/>
        </w:rPr>
        <w:t>ze</w:t>
      </w:r>
      <w:r w:rsidR="00DD4A88">
        <w:rPr>
          <w:b/>
        </w:rPr>
        <w:t xml:space="preserve"> van elkaar hebben</w:t>
      </w:r>
      <w:r w:rsidR="00DD4A88">
        <w:rPr>
          <w:b/>
        </w:rPr>
        <w:br/>
      </w:r>
      <w:r w:rsidR="00D75894">
        <w:t>Ketenpartijen zijn open en transparant over onderlinge afhankelijkheden</w:t>
      </w:r>
      <w:r w:rsidR="00F66ECF">
        <w:t>. Zij maken aan elkaar duidelijk:</w:t>
      </w:r>
    </w:p>
    <w:p w:rsidR="00F66ECF" w:rsidRDefault="00F66ECF" w:rsidP="00F66ECF">
      <w:pPr>
        <w:pStyle w:val="Lijstalinea"/>
        <w:numPr>
          <w:ilvl w:val="1"/>
          <w:numId w:val="6"/>
        </w:numPr>
      </w:pPr>
      <w:r>
        <w:t xml:space="preserve"> </w:t>
      </w:r>
      <w:r w:rsidR="00D75894">
        <w:t>de eisen en verwachtingen die zij hebben ten aanzien van procesuitvoering en informatievoorziening</w:t>
      </w:r>
      <w:r>
        <w:t xml:space="preserve"> door andere ketenpartijen, en</w:t>
      </w:r>
    </w:p>
    <w:p w:rsidR="00F66ECF" w:rsidRDefault="00F66ECF" w:rsidP="00F66ECF">
      <w:pPr>
        <w:pStyle w:val="Lijstalinea"/>
        <w:numPr>
          <w:ilvl w:val="1"/>
          <w:numId w:val="6"/>
        </w:numPr>
      </w:pPr>
      <w:r>
        <w:t>de mate waarin zij zelf aan de verwachtingen en eisen van andere ketenpartijen kunnen voldoen</w:t>
      </w:r>
    </w:p>
    <w:p w:rsidR="006016C3" w:rsidRPr="00A545A1" w:rsidRDefault="002E6F9C" w:rsidP="006C6C2A">
      <w:pPr>
        <w:pStyle w:val="Lijstalinea"/>
        <w:ind w:left="360"/>
      </w:pPr>
      <w:r>
        <w:t>Op basis hiervan worden afspraken gemaakt over ieders rol en taak. Ieder komt de bij zijn rol en taak behorende verplichtingen na, en is daarop aan te spreken.</w:t>
      </w:r>
      <w:r>
        <w:br/>
      </w:r>
      <w:r w:rsidR="00F66ECF">
        <w:t xml:space="preserve">Dit maakt de </w:t>
      </w:r>
      <w:r w:rsidR="00E144D9">
        <w:t xml:space="preserve">betrouwbaarheid van de </w:t>
      </w:r>
      <w:r w:rsidR="00F66ECF">
        <w:t xml:space="preserve">informatievoorziening in de onderwijsketen </w:t>
      </w:r>
      <w:proofErr w:type="spellStart"/>
      <w:r w:rsidR="00F66ECF">
        <w:t>t</w:t>
      </w:r>
      <w:r w:rsidR="006016C3" w:rsidRPr="00A545A1">
        <w:t>estbaar</w:t>
      </w:r>
      <w:proofErr w:type="spellEnd"/>
      <w:r w:rsidR="00F66ECF">
        <w:t>.</w:t>
      </w:r>
    </w:p>
    <w:p w:rsidR="006016C3" w:rsidRPr="00A545A1" w:rsidRDefault="00357318" w:rsidP="00A46D65">
      <w:pPr>
        <w:pStyle w:val="Lijstalinea"/>
        <w:numPr>
          <w:ilvl w:val="0"/>
          <w:numId w:val="6"/>
        </w:numPr>
      </w:pPr>
      <w:r>
        <w:rPr>
          <w:b/>
        </w:rPr>
        <w:t>Ketenpartijen</w:t>
      </w:r>
      <w:r w:rsidR="004D64DC">
        <w:rPr>
          <w:b/>
        </w:rPr>
        <w:t xml:space="preserve"> zorgen voor voldoende meet- en </w:t>
      </w:r>
      <w:r w:rsidR="004D64DC" w:rsidRPr="004D64DC">
        <w:rPr>
          <w:b/>
        </w:rPr>
        <w:t>controlepunten</w:t>
      </w:r>
      <w:r w:rsidR="004D64DC">
        <w:br/>
      </w:r>
      <w:r w:rsidR="004573E5">
        <w:t>Ketenpartijen monitoren, waar mogelijk geautomatiseerd, in welke mate voldaan wordt aan de privacy- en beveiligingskaders en de daaruit voortvloeiende afspraken. Zij delen de resultaten met andere partijen in de onderwijsketen.</w:t>
      </w:r>
      <w:r w:rsidR="004573E5">
        <w:br/>
        <w:t>Di</w:t>
      </w:r>
      <w:r>
        <w:t>t</w:t>
      </w:r>
      <w:r w:rsidR="004573E5">
        <w:t xml:space="preserve"> maakt de </w:t>
      </w:r>
      <w:r w:rsidR="00E144D9">
        <w:t xml:space="preserve">betrouwbaarheid van de </w:t>
      </w:r>
      <w:r w:rsidR="004573E5">
        <w:t>informatievoorziening in de onderwijsketen meetbaar</w:t>
      </w:r>
      <w:r w:rsidR="006016C3" w:rsidRPr="00A545A1">
        <w:t xml:space="preserve">; </w:t>
      </w:r>
    </w:p>
    <w:p w:rsidR="007E7952" w:rsidRDefault="00ED7DEF" w:rsidP="00A46D65">
      <w:pPr>
        <w:pStyle w:val="Lijstalinea"/>
        <w:numPr>
          <w:ilvl w:val="0"/>
          <w:numId w:val="6"/>
        </w:numPr>
      </w:pPr>
      <w:r>
        <w:rPr>
          <w:b/>
        </w:rPr>
        <w:t>Ketenpartijen</w:t>
      </w:r>
      <w:r w:rsidR="00A07F93">
        <w:rPr>
          <w:b/>
        </w:rPr>
        <w:t xml:space="preserve"> zijn transparant over de genomen privacy- en beveiligingsmaatregelen</w:t>
      </w:r>
      <w:r w:rsidR="00A07F93">
        <w:rPr>
          <w:b/>
        </w:rPr>
        <w:br/>
      </w:r>
      <w:r w:rsidR="00A07F93" w:rsidRPr="00A07F93">
        <w:t>Ketenpartij</w:t>
      </w:r>
      <w:r w:rsidR="00A07F93">
        <w:t>en bieden inzage in de normenkaders en beheersmaatregelen die zij toepassen, en bieden de mogelijkheid die toepassing te (laten) controleren.</w:t>
      </w:r>
      <w:r w:rsidR="00A07F93">
        <w:br/>
        <w:t>Dit maakt de betrouwbaarheid van de informatievoorziening in de on</w:t>
      </w:r>
      <w:r w:rsidR="00F11EAC">
        <w:t>d</w:t>
      </w:r>
      <w:r w:rsidR="00A07F93">
        <w:t>erwijsketen verifieerbaar.</w:t>
      </w:r>
    </w:p>
    <w:p w:rsidR="00A545A1" w:rsidRPr="00A545A1" w:rsidRDefault="00BD5B4F" w:rsidP="00A46D65">
      <w:pPr>
        <w:pStyle w:val="Lijstalinea"/>
        <w:numPr>
          <w:ilvl w:val="0"/>
          <w:numId w:val="6"/>
        </w:numPr>
      </w:pPr>
      <w:r>
        <w:rPr>
          <w:b/>
        </w:rPr>
        <w:t>Ketenpartijen</w:t>
      </w:r>
      <w:r w:rsidR="00A545A1" w:rsidRPr="00726D1B">
        <w:rPr>
          <w:b/>
        </w:rPr>
        <w:t xml:space="preserve"> </w:t>
      </w:r>
      <w:r w:rsidR="00A545A1">
        <w:rPr>
          <w:b/>
        </w:rPr>
        <w:t xml:space="preserve">maken afspraken over de te realiseren </w:t>
      </w:r>
      <w:r w:rsidR="00F34EE4">
        <w:rPr>
          <w:b/>
        </w:rPr>
        <w:t>ambitieniveau</w:t>
      </w:r>
      <w:r w:rsidR="00333472">
        <w:rPr>
          <w:b/>
        </w:rPr>
        <w:t>s</w:t>
      </w:r>
      <w:r w:rsidR="00A545A1">
        <w:rPr>
          <w:b/>
        </w:rPr>
        <w:t xml:space="preserve"> en </w:t>
      </w:r>
      <w:r w:rsidR="00333472">
        <w:rPr>
          <w:b/>
        </w:rPr>
        <w:t>spreken</w:t>
      </w:r>
      <w:r w:rsidR="00A545A1">
        <w:rPr>
          <w:b/>
        </w:rPr>
        <w:t xml:space="preserve"> elkaar </w:t>
      </w:r>
      <w:r w:rsidR="00333472">
        <w:rPr>
          <w:b/>
        </w:rPr>
        <w:t>daarop</w:t>
      </w:r>
      <w:r w:rsidR="00A545A1">
        <w:rPr>
          <w:b/>
        </w:rPr>
        <w:t xml:space="preserve"> aan</w:t>
      </w:r>
      <w:r w:rsidR="00A545A1">
        <w:rPr>
          <w:b/>
        </w:rPr>
        <w:br/>
      </w:r>
      <w:r w:rsidR="00A545A1">
        <w:t xml:space="preserve">De </w:t>
      </w:r>
      <w:r w:rsidR="00CD33F7">
        <w:t>ambities met betrekking tot het te realiseren niveau van informatiebeveiliging</w:t>
      </w:r>
      <w:r w:rsidR="00A545A1">
        <w:t xml:space="preserve"> kunnen in de tijd per onderwijssector of toepassingsgebied verschillen.</w:t>
      </w:r>
      <w:r w:rsidR="00CD33F7">
        <w:t xml:space="preserve"> </w:t>
      </w:r>
      <w:r w:rsidR="00501DA0">
        <w:t xml:space="preserve">Het afstemmen van de ambitie vindt binnen de verschillende </w:t>
      </w:r>
      <w:r w:rsidR="00261A3B">
        <w:t>onderwijs</w:t>
      </w:r>
      <w:r w:rsidR="00501DA0">
        <w:t>sectoren plaats.</w:t>
      </w:r>
      <w:r w:rsidR="00CD33F7">
        <w:t xml:space="preserve"> </w:t>
      </w:r>
      <w:r w:rsidR="00F35F14">
        <w:t xml:space="preserve">Om betrouwbaar gegevens te kunnen uitwisselen en in ketens te kunnen samenwerken moeten partijen een vergelijkbaar ambitieniveau hebben. </w:t>
      </w:r>
      <w:r w:rsidR="00AD2749">
        <w:br/>
      </w:r>
      <w:r w:rsidR="00A545A1">
        <w:t>Waar mogelijk wordt</w:t>
      </w:r>
      <w:r w:rsidR="007B3BE0">
        <w:t xml:space="preserve"> </w:t>
      </w:r>
      <w:r w:rsidR="00AD2749">
        <w:t>met het realiseren van de ambities</w:t>
      </w:r>
      <w:r w:rsidR="00A545A1">
        <w:t xml:space="preserve"> vaart gemaakt, zonder organisaties te overvragen. Er wordt nadrukkelijk rekening gehouden met de huidige stand van zaken, de mogelijke verbeterpunten en een groeipad naar </w:t>
      </w:r>
      <w:r w:rsidR="007B3BE0">
        <w:t>een steeds hoger daa</w:t>
      </w:r>
      <w:r w:rsidR="001C7666">
        <w:t>d</w:t>
      </w:r>
      <w:r w:rsidR="007B3BE0">
        <w:t>werkelijk gerealiseerd niveau ten opzichte van de ambitie. Dit</w:t>
      </w:r>
      <w:r w:rsidR="008C2C11">
        <w:t xml:space="preserve"> gerealiseerde</w:t>
      </w:r>
      <w:r w:rsidR="007B3BE0">
        <w:t xml:space="preserve"> ´volwassenheidsniveau´ kan worden vastgesteld middels toetsingskaders</w:t>
      </w:r>
      <w:r w:rsidR="002F1E7C">
        <w:t xml:space="preserve"> (zie ook Hoofdstuk 3)</w:t>
      </w:r>
      <w:r w:rsidR="007B3BE0">
        <w:t>.</w:t>
      </w:r>
      <w:r w:rsidR="008C2C11">
        <w:t xml:space="preserve"> </w:t>
      </w:r>
      <w:r w:rsidR="00EC0DAD">
        <w:br/>
        <w:t xml:space="preserve">Die maakt de betrouwbaarheid van de informatievoorziening in de onderwijsketen </w:t>
      </w:r>
      <w:proofErr w:type="spellStart"/>
      <w:r w:rsidR="00EC0DAD">
        <w:t>valideerbaar</w:t>
      </w:r>
      <w:proofErr w:type="spellEnd"/>
      <w:r w:rsidR="00EC0DAD">
        <w:t>.</w:t>
      </w:r>
    </w:p>
    <w:p w:rsidR="00551B8B" w:rsidRDefault="00551B8B" w:rsidP="00551B8B">
      <w:pPr>
        <w:pStyle w:val="Kop3"/>
      </w:pPr>
      <w:proofErr w:type="spellStart"/>
      <w:r>
        <w:lastRenderedPageBreak/>
        <w:t>Ketenbrede</w:t>
      </w:r>
      <w:proofErr w:type="spellEnd"/>
      <w:r>
        <w:t xml:space="preserve"> </w:t>
      </w:r>
      <w:proofErr w:type="spellStart"/>
      <w:r>
        <w:t>governance</w:t>
      </w:r>
      <w:proofErr w:type="spellEnd"/>
      <w:r>
        <w:t xml:space="preserve"> van privacy- en beveiligingsmaatregelen</w:t>
      </w:r>
    </w:p>
    <w:p w:rsidR="00551B8B" w:rsidRDefault="00916C44" w:rsidP="00551B8B">
      <w:r>
        <w:t xml:space="preserve">Een </w:t>
      </w:r>
      <w:proofErr w:type="spellStart"/>
      <w:r>
        <w:t>ketenbrede</w:t>
      </w:r>
      <w:proofErr w:type="spellEnd"/>
      <w:r>
        <w:t xml:space="preserve"> aanpak van privacy- en beveiligingsvraagstukken vraagt om een </w:t>
      </w:r>
      <w:proofErr w:type="spellStart"/>
      <w:r>
        <w:t>ketenbrede</w:t>
      </w:r>
      <w:proofErr w:type="spellEnd"/>
      <w:r>
        <w:t xml:space="preserve"> sturing op de te nemen maatregelen. De volgende kaders helpen ons om, vanuit de verschillende onderwijssectoren, de te nemen maatregelen ter voorkoming van en in reactie op incidenten te harmoniseren:</w:t>
      </w:r>
    </w:p>
    <w:p w:rsidR="00916C44" w:rsidRDefault="00916C44" w:rsidP="005947E3">
      <w:pPr>
        <w:pStyle w:val="Lijstalinea"/>
        <w:numPr>
          <w:ilvl w:val="0"/>
          <w:numId w:val="6"/>
        </w:numPr>
      </w:pPr>
      <w:r w:rsidRPr="00916C44">
        <w:rPr>
          <w:b/>
        </w:rPr>
        <w:t xml:space="preserve">Ketenpartijen </w:t>
      </w:r>
      <w:r>
        <w:rPr>
          <w:b/>
        </w:rPr>
        <w:t xml:space="preserve">werken aan het opstellen en gebruik maken van </w:t>
      </w:r>
      <w:proofErr w:type="spellStart"/>
      <w:r>
        <w:rPr>
          <w:b/>
        </w:rPr>
        <w:t>sectorbrede</w:t>
      </w:r>
      <w:proofErr w:type="spellEnd"/>
      <w:r>
        <w:rPr>
          <w:b/>
        </w:rPr>
        <w:t xml:space="preserve"> </w:t>
      </w:r>
      <w:proofErr w:type="spellStart"/>
      <w:r>
        <w:rPr>
          <w:b/>
        </w:rPr>
        <w:t>frameworks</w:t>
      </w:r>
      <w:proofErr w:type="spellEnd"/>
      <w:r>
        <w:rPr>
          <w:b/>
        </w:rPr>
        <w:t xml:space="preserve"> en baselines</w:t>
      </w:r>
      <w:r w:rsidRPr="00916C44">
        <w:rPr>
          <w:b/>
        </w:rPr>
        <w:t xml:space="preserve"> </w:t>
      </w:r>
      <w:r w:rsidRPr="00916C44">
        <w:rPr>
          <w:b/>
        </w:rPr>
        <w:br/>
      </w:r>
      <w:r>
        <w:t xml:space="preserve">Er bestaan </w:t>
      </w:r>
      <w:r w:rsidR="00DB1692">
        <w:t xml:space="preserve">vooral </w:t>
      </w:r>
      <w:r>
        <w:t xml:space="preserve">sectorspecifiek nuances in dreigingsbeelden, risico's en </w:t>
      </w:r>
      <w:r w:rsidR="00DB1692">
        <w:t xml:space="preserve">realiseerbaarheid van beheersmaatregelen. Om een zekere harmonisatie van te nemen maatregelen te realiseren, wordt in ieder geval </w:t>
      </w:r>
      <w:proofErr w:type="spellStart"/>
      <w:r w:rsidR="00DB1692">
        <w:t>sectorbreed</w:t>
      </w:r>
      <w:proofErr w:type="spellEnd"/>
      <w:r w:rsidR="00DB1692">
        <w:t xml:space="preserve"> afstemming georganiseerd over de te gebruiken </w:t>
      </w:r>
      <w:r w:rsidR="00692D8B">
        <w:t xml:space="preserve">beveiligings- en </w:t>
      </w:r>
      <w:proofErr w:type="spellStart"/>
      <w:r w:rsidR="00692D8B">
        <w:t>privacy</w:t>
      </w:r>
      <w:r w:rsidR="00DB1692">
        <w:t>frameworks</w:t>
      </w:r>
      <w:proofErr w:type="spellEnd"/>
      <w:r w:rsidR="00DB1692">
        <w:t xml:space="preserve"> en </w:t>
      </w:r>
      <w:r w:rsidR="00692D8B">
        <w:t>-</w:t>
      </w:r>
      <w:r w:rsidR="00DB1692">
        <w:t>baselines.</w:t>
      </w:r>
    </w:p>
    <w:p w:rsidR="00AA4640" w:rsidRDefault="00AA4640" w:rsidP="006C6C2A">
      <w:pPr>
        <w:pStyle w:val="Geenafstand"/>
        <w:numPr>
          <w:ilvl w:val="0"/>
          <w:numId w:val="6"/>
        </w:numPr>
      </w:pPr>
      <w:r w:rsidRPr="005947E3">
        <w:rPr>
          <w:b/>
        </w:rPr>
        <w:t>Ketenpartijen zorgen voor een goede incident response</w:t>
      </w:r>
      <w:r w:rsidRPr="006C6C2A">
        <w:rPr>
          <w:b/>
        </w:rPr>
        <w:br/>
      </w:r>
      <w:bookmarkStart w:id="33" w:name="_Toc410767897"/>
      <w:bookmarkStart w:id="34" w:name="_Toc410923387"/>
      <w:bookmarkEnd w:id="31"/>
      <w:bookmarkEnd w:id="32"/>
      <w:r w:rsidR="00940E4F" w:rsidRPr="006C6C2A">
        <w:rPr>
          <w:rFonts w:eastAsiaTheme="majorEastAsia"/>
        </w:rPr>
        <w:t xml:space="preserve">Voorkomen is beter dan genezen. De privacy- en beveiligingskaders in dit katern richten zich daarom met name op het tegengaan van privacy- en beveiligingsincidenten. </w:t>
      </w:r>
      <w:r>
        <w:t xml:space="preserve">Toch </w:t>
      </w:r>
      <w:r w:rsidRPr="00AA4640">
        <w:t>kan zich altijd de situatie voordoen dat een plotseling incident leidt tot de noodzaak om snel in te grijpen, door de hele onderwijsketen heen. Zo'n situatie ontstaat bijvoorbeeld wanneer een serieus lek wordt gevonden in veelgebruikte (systeem)software.</w:t>
      </w:r>
      <w:r>
        <w:t xml:space="preserve"> In zo'n geval moeten - afhankelijk van de schaal en reikwijdte van het incident - individuele partijen in het onderwijsdomein, volledige onderwijssectoren of het hele onderwijsdomein voorbereid zijn om op de juiste manier te kunnen reageren</w:t>
      </w:r>
      <w:r w:rsidR="00012F68">
        <w:rPr>
          <w:rStyle w:val="Voetnootmarkering"/>
        </w:rPr>
        <w:footnoteReference w:id="1"/>
      </w:r>
      <w:r>
        <w:t>.</w:t>
      </w:r>
    </w:p>
    <w:p w:rsidR="006C6C2A" w:rsidRDefault="006C6C2A" w:rsidP="006C6C2A">
      <w:pPr>
        <w:pStyle w:val="Geenafstand"/>
        <w:ind w:left="360"/>
      </w:pPr>
    </w:p>
    <w:p w:rsidR="0008648F" w:rsidRPr="00D80BA6" w:rsidRDefault="003F3050" w:rsidP="00FC50AD">
      <w:pPr>
        <w:pStyle w:val="Kop2"/>
        <w:spacing w:before="0" w:line="260" w:lineRule="atLeast"/>
      </w:pPr>
      <w:bookmarkStart w:id="35" w:name="_Toc412100407"/>
      <w:r>
        <w:t>2</w:t>
      </w:r>
      <w:r w:rsidR="0008648F" w:rsidRPr="00D80BA6">
        <w:t>.2 Additionele kaders</w:t>
      </w:r>
      <w:bookmarkEnd w:id="33"/>
      <w:bookmarkEnd w:id="34"/>
      <w:bookmarkEnd w:id="35"/>
    </w:p>
    <w:p w:rsidR="005E6940" w:rsidRPr="00D80BA6" w:rsidRDefault="005E6940" w:rsidP="00FC50AD">
      <w:pPr>
        <w:spacing w:after="0" w:line="260" w:lineRule="atLeast"/>
      </w:pPr>
      <w:r w:rsidRPr="00D80BA6">
        <w:t xml:space="preserve">In aanvulling op </w:t>
      </w:r>
      <w:r w:rsidR="007F4DCE">
        <w:t>het basisniveau</w:t>
      </w:r>
      <w:r w:rsidRPr="00D80BA6">
        <w:t xml:space="preserve"> gelden </w:t>
      </w:r>
      <w:r w:rsidR="006E5872" w:rsidRPr="00D80BA6">
        <w:t>voor specifieke werkingsgebieden additionele kaders. Voor het ketenproces toetsen en examineren zijn deze kaders in de volgende paragraaf opgenomen. Voor andere ketenprocessen</w:t>
      </w:r>
      <w:r w:rsidR="008D1516" w:rsidRPr="00D80BA6">
        <w:t>,</w:t>
      </w:r>
      <w:r w:rsidR="006E5872" w:rsidRPr="00D80BA6">
        <w:t xml:space="preserve"> </w:t>
      </w:r>
      <w:r w:rsidR="008D1516" w:rsidRPr="00D80BA6">
        <w:t xml:space="preserve">op het vlak van </w:t>
      </w:r>
      <w:r w:rsidR="00F916A7">
        <w:t>b</w:t>
      </w:r>
      <w:r w:rsidR="008D1516" w:rsidRPr="00D80BA6">
        <w:t>ekostiging</w:t>
      </w:r>
      <w:r w:rsidR="00F916A7">
        <w:t xml:space="preserve"> en online leren</w:t>
      </w:r>
      <w:r w:rsidR="008D1516" w:rsidRPr="00D80BA6">
        <w:t xml:space="preserve">, </w:t>
      </w:r>
      <w:r w:rsidR="006E5872" w:rsidRPr="00D80BA6">
        <w:t xml:space="preserve">zullen op basis van risicoanalyses in de toekomst soortgelijke aanvullingen worden opgesteld. </w:t>
      </w:r>
    </w:p>
    <w:p w:rsidR="00FC50AD" w:rsidRPr="00D80BA6" w:rsidRDefault="00FC50AD" w:rsidP="006C6C2A">
      <w:pPr>
        <w:spacing w:after="0" w:line="260" w:lineRule="atLeast"/>
      </w:pPr>
    </w:p>
    <w:p w:rsidR="006E5872" w:rsidRPr="00D80BA6" w:rsidRDefault="006E5872" w:rsidP="00FC50AD">
      <w:pPr>
        <w:pStyle w:val="Kop3"/>
        <w:spacing w:before="0" w:line="260" w:lineRule="atLeast"/>
      </w:pPr>
      <w:bookmarkStart w:id="36" w:name="_Toc404246370"/>
      <w:r w:rsidRPr="00D80BA6">
        <w:t>Toetsen en examineren</w:t>
      </w:r>
      <w:bookmarkEnd w:id="36"/>
    </w:p>
    <w:p w:rsidR="006E5872" w:rsidRPr="00D80BA6" w:rsidRDefault="006E5872" w:rsidP="00FC50AD">
      <w:pPr>
        <w:spacing w:after="0" w:line="260" w:lineRule="atLeast"/>
      </w:pPr>
      <w:r w:rsidRPr="00D80BA6">
        <w:t xml:space="preserve">Naast de kaders uit </w:t>
      </w:r>
      <w:r w:rsidR="003505A9">
        <w:t>het basisniveau</w:t>
      </w:r>
      <w:r w:rsidRPr="00D80BA6">
        <w:t>, gelden op het gebied van privacy en beveiliging bij toetsen en examineren de volgende kaders:</w:t>
      </w:r>
    </w:p>
    <w:p w:rsidR="0008648F" w:rsidRPr="00D80BA6" w:rsidRDefault="0008648F" w:rsidP="00FC50AD">
      <w:pPr>
        <w:pStyle w:val="Lijstalinea"/>
        <w:numPr>
          <w:ilvl w:val="0"/>
          <w:numId w:val="7"/>
        </w:numPr>
        <w:spacing w:after="0" w:line="260" w:lineRule="atLeast"/>
      </w:pPr>
      <w:r w:rsidRPr="00D80BA6">
        <w:t xml:space="preserve">Gegevens die gebruikt zijn bij de totstandkoming van het </w:t>
      </w:r>
      <w:proofErr w:type="spellStart"/>
      <w:r w:rsidRPr="00D80BA6">
        <w:t>toetsresultaat</w:t>
      </w:r>
      <w:proofErr w:type="spellEnd"/>
      <w:r w:rsidRPr="00D80BA6">
        <w:t xml:space="preserve"> kunnen </w:t>
      </w:r>
      <w:r w:rsidR="00B808AF">
        <w:t>in ieder geval niet eerder</w:t>
      </w:r>
      <w:r w:rsidRPr="00D80BA6">
        <w:t xml:space="preserve"> worden verwijderd </w:t>
      </w:r>
      <w:r w:rsidR="00B808AF">
        <w:t>dan</w:t>
      </w:r>
      <w:r w:rsidRPr="00D80BA6">
        <w:t xml:space="preserve"> na het verstrijken van de inzage- en beroepstermijn</w:t>
      </w:r>
    </w:p>
    <w:p w:rsidR="0008648F" w:rsidRPr="00D80BA6" w:rsidRDefault="0008648F" w:rsidP="00FC50AD">
      <w:pPr>
        <w:pStyle w:val="Lijstalinea"/>
        <w:numPr>
          <w:ilvl w:val="0"/>
          <w:numId w:val="7"/>
        </w:numPr>
        <w:spacing w:after="0" w:line="260" w:lineRule="atLeast"/>
      </w:pPr>
      <w:r w:rsidRPr="00D80BA6">
        <w:t>De afnamerespons wordt onmiddellijk verwijderd na het verstrijken van de inzage- en beroepstermijn</w:t>
      </w:r>
    </w:p>
    <w:p w:rsidR="0008648F" w:rsidRPr="00D80BA6" w:rsidRDefault="0008648F" w:rsidP="00FC50AD">
      <w:pPr>
        <w:pStyle w:val="Lijstalinea"/>
        <w:numPr>
          <w:ilvl w:val="0"/>
          <w:numId w:val="7"/>
        </w:numPr>
        <w:spacing w:after="0" w:line="260" w:lineRule="atLeast"/>
      </w:pPr>
      <w:r w:rsidRPr="00D80BA6">
        <w:t xml:space="preserve">De totstandkoming van het </w:t>
      </w:r>
      <w:proofErr w:type="spellStart"/>
      <w:r w:rsidRPr="00D80BA6">
        <w:t>toetsresultaat</w:t>
      </w:r>
      <w:proofErr w:type="spellEnd"/>
      <w:r w:rsidRPr="00D80BA6">
        <w:t xml:space="preserve"> is transparant en </w:t>
      </w:r>
      <w:proofErr w:type="spellStart"/>
      <w:r w:rsidRPr="00D80BA6">
        <w:t>valideerbaar</w:t>
      </w:r>
      <w:proofErr w:type="spellEnd"/>
      <w:r w:rsidRPr="00D80BA6">
        <w:t>.</w:t>
      </w:r>
    </w:p>
    <w:p w:rsidR="0008648F" w:rsidRPr="00D80BA6" w:rsidRDefault="0008648F" w:rsidP="00FC50AD">
      <w:pPr>
        <w:pStyle w:val="Lijstalinea"/>
        <w:numPr>
          <w:ilvl w:val="0"/>
          <w:numId w:val="7"/>
        </w:numPr>
        <w:spacing w:after="0" w:line="260" w:lineRule="atLeast"/>
      </w:pPr>
      <w:r w:rsidRPr="00D80BA6">
        <w:t xml:space="preserve">De identiteit van een kandidaat wordt voor de </w:t>
      </w:r>
      <w:proofErr w:type="spellStart"/>
      <w:r w:rsidRPr="00D80BA6">
        <w:t>toetsafname</w:t>
      </w:r>
      <w:proofErr w:type="spellEnd"/>
      <w:r w:rsidRPr="00D80BA6">
        <w:t xml:space="preserve"> vastgesteld</w:t>
      </w:r>
    </w:p>
    <w:p w:rsidR="0008648F" w:rsidRPr="00D80BA6" w:rsidRDefault="0008648F" w:rsidP="00FC50AD">
      <w:pPr>
        <w:pStyle w:val="Lijstalinea"/>
        <w:numPr>
          <w:ilvl w:val="0"/>
          <w:numId w:val="7"/>
        </w:numPr>
        <w:spacing w:after="0" w:line="260" w:lineRule="atLeast"/>
      </w:pPr>
      <w:r w:rsidRPr="00D80BA6">
        <w:t xml:space="preserve">De </w:t>
      </w:r>
      <w:proofErr w:type="spellStart"/>
      <w:r w:rsidRPr="00D80BA6">
        <w:t>toetslocatie</w:t>
      </w:r>
      <w:proofErr w:type="spellEnd"/>
      <w:r w:rsidRPr="00D80BA6">
        <w:t xml:space="preserve"> is zo ingericht dat fraude wordt voorkomen</w:t>
      </w:r>
    </w:p>
    <w:p w:rsidR="00FC50AD" w:rsidRDefault="00FC50AD">
      <w:r>
        <w:br w:type="page"/>
      </w:r>
    </w:p>
    <w:p w:rsidR="003B50E6" w:rsidRPr="00D80BA6" w:rsidRDefault="003B50E6" w:rsidP="003B50E6">
      <w:pPr>
        <w:pStyle w:val="Kop1"/>
        <w:spacing w:before="0" w:line="260" w:lineRule="atLeast"/>
      </w:pPr>
      <w:bookmarkStart w:id="37" w:name="_Toc410767898"/>
      <w:bookmarkStart w:id="38" w:name="_Toc410923388"/>
      <w:bookmarkStart w:id="39" w:name="_Toc412100408"/>
      <w:r>
        <w:lastRenderedPageBreak/>
        <w:t>3</w:t>
      </w:r>
      <w:r w:rsidRPr="00D80BA6">
        <w:t xml:space="preserve">. </w:t>
      </w:r>
      <w:r>
        <w:t>Toetsingskaders</w:t>
      </w:r>
      <w:bookmarkEnd w:id="37"/>
      <w:bookmarkEnd w:id="38"/>
      <w:bookmarkEnd w:id="39"/>
      <w:r>
        <w:t xml:space="preserve"> </w:t>
      </w:r>
    </w:p>
    <w:p w:rsidR="005054FF" w:rsidRDefault="005054FF" w:rsidP="005054FF">
      <w:pPr>
        <w:spacing w:after="0" w:line="260" w:lineRule="atLeast"/>
      </w:pPr>
      <w:bookmarkStart w:id="40" w:name="_Toc410767899"/>
      <w:bookmarkStart w:id="41" w:name="_Toc410923389"/>
    </w:p>
    <w:p w:rsidR="00C516F1" w:rsidRDefault="00C516F1" w:rsidP="00C516F1">
      <w:pPr>
        <w:spacing w:after="0" w:line="260" w:lineRule="atLeast"/>
      </w:pPr>
      <w:r>
        <w:t>Er zijn vele manieren waarop instellingen, leveranciers en andere onderwijsketenpartijen kunnen voldoen aan de kaders uit Hoofdstuk 2. Zij kunnen daarbij gebruik maken van diverse normenkaders, waarin samenhangende sets van beheersmaatregelen - vaak gericht op een specifiek werkings- en/of toepassingsgebied - zijn verzameld. In de Bijlage: Normenkaders is een overzicht opgenomen van normenkaders opgenomen</w:t>
      </w:r>
      <w:r w:rsidRPr="00F4454C">
        <w:t xml:space="preserve">. Instellingen </w:t>
      </w:r>
      <w:r>
        <w:t xml:space="preserve">en andere ketenpartijen </w:t>
      </w:r>
      <w:r w:rsidRPr="00F4454C">
        <w:t>die willen voldoen aan kaders uit het basisniveau en/of aanvullende kaders kunnen daaruit putten.</w:t>
      </w:r>
    </w:p>
    <w:p w:rsidR="00C516F1" w:rsidRDefault="00C516F1" w:rsidP="00C516F1">
      <w:pPr>
        <w:spacing w:after="0" w:line="260" w:lineRule="atLeast"/>
      </w:pPr>
    </w:p>
    <w:p w:rsidR="00C516F1" w:rsidRDefault="00C516F1" w:rsidP="00C516F1">
      <w:pPr>
        <w:spacing w:after="0" w:line="260" w:lineRule="atLeast"/>
      </w:pPr>
      <w:r w:rsidRPr="002B0996">
        <w:t>De keuze voor de toe te passen beheersmaatregelen ligt in beginsel bij de individuele ketenpartijen</w:t>
      </w:r>
      <w:r>
        <w:t xml:space="preserve">. Tegelijkertijd betekent het werken in ketens dat er onderlinge verwachtingen en afhankelijkheden zijn; ook - of </w:t>
      </w:r>
      <w:r>
        <w:rPr>
          <w:i/>
        </w:rPr>
        <w:t>juist</w:t>
      </w:r>
      <w:r>
        <w:t xml:space="preserve"> - als het gaat om privacybescherming en informatiebeveiliging. De keten is met name op deze aspecten immers zo sterk als de zwakste schakel. Die verwachtingen komen tot uitdrukking in Hoofdstuk 2 in de paragraaf </w:t>
      </w:r>
      <w:r w:rsidRPr="00C516F1">
        <w:rPr>
          <w:i/>
        </w:rPr>
        <w:t>Informatiebeveiliging en privacybescherming door ketenpartijen</w:t>
      </w:r>
      <w:r>
        <w:t>. Daarin staat, kort samengevat, dat we als ketenpartijen in het onderwijs:</w:t>
      </w:r>
    </w:p>
    <w:p w:rsidR="00C516F1" w:rsidRDefault="00C516F1" w:rsidP="00C516F1">
      <w:pPr>
        <w:pStyle w:val="Lijstalinea"/>
        <w:numPr>
          <w:ilvl w:val="0"/>
          <w:numId w:val="36"/>
        </w:numPr>
        <w:spacing w:after="0" w:line="260" w:lineRule="atLeast"/>
      </w:pPr>
      <w:r>
        <w:t>van andere partijen in de onderwijsketen verwachten dat zij zich - net als wij - conformeren aan de internationale ISO informatiebeveiligingsstandaard (ISO 27001/27002:2013, ook wel bekend als de 'code voor informatiebeveiliging), en</w:t>
      </w:r>
    </w:p>
    <w:p w:rsidR="00C516F1" w:rsidRDefault="00C516F1" w:rsidP="00C516F1">
      <w:pPr>
        <w:pStyle w:val="Lijstalinea"/>
        <w:numPr>
          <w:ilvl w:val="0"/>
          <w:numId w:val="36"/>
        </w:numPr>
        <w:spacing w:after="0" w:line="260" w:lineRule="atLeast"/>
      </w:pPr>
      <w:r>
        <w:t>dat we gezamenlijk afspraken maken over de te realiseren volwassenheidsniveaus, en de manier waarop we die niveaus objectief meten</w:t>
      </w:r>
    </w:p>
    <w:p w:rsidR="00C516F1" w:rsidRDefault="00C516F1" w:rsidP="00C516F1">
      <w:pPr>
        <w:spacing w:after="0" w:line="260" w:lineRule="atLeast"/>
      </w:pPr>
    </w:p>
    <w:p w:rsidR="00C516F1" w:rsidRDefault="00C516F1" w:rsidP="00C516F1">
      <w:pPr>
        <w:spacing w:after="0" w:line="260" w:lineRule="atLeast"/>
      </w:pPr>
      <w:r>
        <w:t xml:space="preserve">Voor het meten van volwassenheidsniveaus maken we gebruik van </w:t>
      </w:r>
      <w:r>
        <w:rPr>
          <w:i/>
        </w:rPr>
        <w:t>toetsingskaders</w:t>
      </w:r>
      <w:r>
        <w:t xml:space="preserve">. Dit zijn normenkaders, zoals de normenkaders uit de bijlage, waarvoor is vastgelegd op welke wijze </w:t>
      </w:r>
      <w:r w:rsidRPr="00A54EEB">
        <w:rPr>
          <w:i/>
        </w:rPr>
        <w:t>bewijsvoering</w:t>
      </w:r>
      <w:r>
        <w:t xml:space="preserve"> wordt verkregen voor het al dan niet voldoen aan de desbetreffende beheersmaatregelen. </w:t>
      </w:r>
    </w:p>
    <w:p w:rsidR="00C516F1" w:rsidRDefault="00C516F1" w:rsidP="00C516F1">
      <w:pPr>
        <w:spacing w:after="0" w:line="260" w:lineRule="atLeast"/>
      </w:pPr>
    </w:p>
    <w:p w:rsidR="00C516F1" w:rsidRDefault="00C516F1" w:rsidP="00C516F1">
      <w:pPr>
        <w:spacing w:after="0" w:line="260" w:lineRule="atLeast"/>
      </w:pPr>
      <w:r>
        <w:t>Bewijsvoering kan op verschillende manieren verkregen worden:</w:t>
      </w:r>
    </w:p>
    <w:p w:rsidR="00C516F1" w:rsidRDefault="00C516F1" w:rsidP="00C516F1">
      <w:pPr>
        <w:pStyle w:val="Lijstalinea"/>
        <w:numPr>
          <w:ilvl w:val="0"/>
          <w:numId w:val="37"/>
        </w:numPr>
        <w:spacing w:after="0" w:line="260" w:lineRule="atLeast"/>
      </w:pPr>
      <w:r>
        <w:t>Via een zelfverklaring, waarbij een organisatie op eigen gezag een toetsingskader toepast en daarover een verklaring opstelt in welke mate aan de norm wordt voldaan;</w:t>
      </w:r>
    </w:p>
    <w:p w:rsidR="00C516F1" w:rsidRDefault="00C516F1" w:rsidP="00C516F1">
      <w:pPr>
        <w:pStyle w:val="Lijstalinea"/>
        <w:numPr>
          <w:ilvl w:val="0"/>
          <w:numId w:val="37"/>
        </w:numPr>
        <w:spacing w:after="0" w:line="260" w:lineRule="atLeast"/>
      </w:pPr>
      <w:r>
        <w:t xml:space="preserve">Via peer-assessment, waarbij ketenpartijen onderling een toetsingskader toepassen en over hun </w:t>
      </w:r>
      <w:r>
        <w:rPr>
          <w:i/>
        </w:rPr>
        <w:t>peer</w:t>
      </w:r>
      <w:r>
        <w:t xml:space="preserve"> een verklaring opstellen in welke mate aan de norm wordt voldaan;</w:t>
      </w:r>
    </w:p>
    <w:p w:rsidR="00C516F1" w:rsidRPr="00A54EEB" w:rsidRDefault="00C516F1" w:rsidP="00C516F1">
      <w:pPr>
        <w:pStyle w:val="Lijstalinea"/>
        <w:numPr>
          <w:ilvl w:val="0"/>
          <w:numId w:val="37"/>
        </w:numPr>
        <w:spacing w:after="0" w:line="260" w:lineRule="atLeast"/>
      </w:pPr>
      <w:r>
        <w:t>Via een zogenaamd '</w:t>
      </w:r>
      <w:proofErr w:type="spellStart"/>
      <w:r>
        <w:t>third</w:t>
      </w:r>
      <w:proofErr w:type="spellEnd"/>
      <w:r>
        <w:t xml:space="preserve"> party memorandum' of '</w:t>
      </w:r>
      <w:proofErr w:type="spellStart"/>
      <w:r>
        <w:t>derdenverklaring</w:t>
      </w:r>
      <w:proofErr w:type="spellEnd"/>
      <w:r>
        <w:t>', waarbij een onafhankelijke auditor een toetsingskader toepast en een verklaring opstelt in welke mate aan de norm wordt voldaan.</w:t>
      </w:r>
    </w:p>
    <w:p w:rsidR="00C516F1" w:rsidRDefault="00C516F1" w:rsidP="00C516F1">
      <w:pPr>
        <w:spacing w:after="0" w:line="260" w:lineRule="atLeast"/>
      </w:pPr>
    </w:p>
    <w:p w:rsidR="00C516F1" w:rsidRDefault="00C516F1" w:rsidP="00C516F1">
      <w:pPr>
        <w:spacing w:after="0" w:line="260" w:lineRule="atLeast"/>
      </w:pPr>
      <w:r>
        <w:t xml:space="preserve">Op basis van die bewijsvoering kan vervolgend worden bepaald welk volwassenheidsniveau is bereikt. </w:t>
      </w:r>
    </w:p>
    <w:p w:rsidR="00C516F1" w:rsidRDefault="00C516F1" w:rsidP="00C516F1">
      <w:pPr>
        <w:spacing w:after="0" w:line="260" w:lineRule="atLeast"/>
      </w:pPr>
    </w:p>
    <w:p w:rsidR="00C516F1" w:rsidRDefault="00C516F1" w:rsidP="00C516F1">
      <w:pPr>
        <w:spacing w:after="0" w:line="260" w:lineRule="atLeast"/>
      </w:pPr>
      <w:r>
        <w:t xml:space="preserve">Binnen het onderwijsdomein bestaan reeds verschillende toetsingskaders. Er kan onderscheid gemaakt worden tussen toetsingskaders gericht op verantwoordelijken (partijen die het doel en de middelen voor de verwerking van gegevens vaststellen) en bewerkers (partijen die ten behoeve van verantwoordelijken gegevens verwerken). Dit onderscheid wordt, waar het gaat om de verwerking van </w:t>
      </w:r>
      <w:r>
        <w:rPr>
          <w:i/>
        </w:rPr>
        <w:t>persoons</w:t>
      </w:r>
      <w:r>
        <w:t xml:space="preserve">gegevens, ook door de </w:t>
      </w:r>
      <w:proofErr w:type="spellStart"/>
      <w:r>
        <w:t>Wbp</w:t>
      </w:r>
      <w:proofErr w:type="spellEnd"/>
      <w:r>
        <w:t xml:space="preserve"> gehanteerd. Het onderscheid is relevant voor het onderwijsdomein, omdat steeds meer software 'uit de </w:t>
      </w:r>
      <w:proofErr w:type="spellStart"/>
      <w:r>
        <w:t>cloud</w:t>
      </w:r>
      <w:proofErr w:type="spellEnd"/>
      <w:r>
        <w:t>' wordt betrokken. In de regel zullen instellingen als verantwoordelijke optreden, en leveranciers als bewerkers.</w:t>
      </w:r>
    </w:p>
    <w:p w:rsidR="00187CC3" w:rsidRDefault="00187CC3">
      <w:pPr>
        <w:rPr>
          <w:rFonts w:asciiTheme="majorHAnsi" w:eastAsiaTheme="majorEastAsia" w:hAnsiTheme="majorHAnsi" w:cstheme="majorBidi"/>
          <w:b/>
          <w:bCs/>
          <w:color w:val="4F81BD" w:themeColor="accent1"/>
          <w:sz w:val="26"/>
          <w:szCs w:val="26"/>
        </w:rPr>
      </w:pPr>
      <w:r>
        <w:br w:type="page"/>
      </w:r>
    </w:p>
    <w:p w:rsidR="003B50E6" w:rsidRDefault="00520D2D" w:rsidP="003B50E6">
      <w:pPr>
        <w:pStyle w:val="Kop2"/>
        <w:spacing w:before="0" w:line="260" w:lineRule="atLeast"/>
      </w:pPr>
      <w:bookmarkStart w:id="42" w:name="_Toc412100409"/>
      <w:r>
        <w:lastRenderedPageBreak/>
        <w:t>3</w:t>
      </w:r>
      <w:r w:rsidR="003B50E6">
        <w:t xml:space="preserve">.1 </w:t>
      </w:r>
      <w:r w:rsidR="008C3424">
        <w:t xml:space="preserve">Toetsingskaders voor </w:t>
      </w:r>
      <w:r w:rsidR="003B50E6">
        <w:t>Verantwoordelijken</w:t>
      </w:r>
      <w:bookmarkEnd w:id="40"/>
      <w:bookmarkEnd w:id="41"/>
      <w:bookmarkEnd w:id="42"/>
    </w:p>
    <w:p w:rsidR="0081340A" w:rsidRPr="0081340A" w:rsidRDefault="0081340A" w:rsidP="0081340A"/>
    <w:p w:rsidR="00A57EA7" w:rsidRDefault="00A57EA7" w:rsidP="00A57EA7">
      <w:pPr>
        <w:pStyle w:val="Kop3"/>
        <w:spacing w:before="0" w:line="260" w:lineRule="atLeast"/>
      </w:pPr>
      <w:r>
        <w:t xml:space="preserve">Normenkader </w:t>
      </w:r>
      <w:r w:rsidR="005947E3">
        <w:t xml:space="preserve">informatiebeveiliging Hoger Onderwijs </w:t>
      </w:r>
    </w:p>
    <w:p w:rsidR="00A57EA7" w:rsidRPr="00585276" w:rsidRDefault="00A57EA7" w:rsidP="00A57EA7">
      <w:pPr>
        <w:rPr>
          <w:i/>
        </w:rPr>
      </w:pPr>
      <w:r>
        <w:rPr>
          <w:i/>
        </w:rPr>
        <w:t xml:space="preserve">Werkingsgebied: </w:t>
      </w:r>
      <w:r w:rsidR="00B828CB">
        <w:rPr>
          <w:i/>
        </w:rPr>
        <w:t>hoger onderwijs</w:t>
      </w:r>
      <w:r>
        <w:rPr>
          <w:i/>
        </w:rPr>
        <w:br/>
        <w:t>Toepassingsgebied: (interne) organisatie</w:t>
      </w:r>
    </w:p>
    <w:p w:rsidR="00BB1AB2" w:rsidRDefault="00A57EA7" w:rsidP="00BB1AB2">
      <w:r>
        <w:t xml:space="preserve">Het normenkader </w:t>
      </w:r>
      <w:r w:rsidR="005947E3">
        <w:t xml:space="preserve">van SURF </w:t>
      </w:r>
      <w:r>
        <w:t>omvat een selectie van maatregelen uit ISO 27002. Het zijn zaken rond bescherming van veiligheid en continuïteit van bedrijfsgegevens en de privacy van studenten en medewerkers die een onderwijsinstelling ten minste geregeld moet hebben. De maatregelen zijn geclusterd; bij een assessment of audit wordt per cluster het volwassenheidsniveau van de instelling bepaald.</w:t>
      </w:r>
      <w:bookmarkStart w:id="43" w:name="_Toc397967834"/>
    </w:p>
    <w:p w:rsidR="00A02DE5" w:rsidRDefault="00A02DE5" w:rsidP="00BB1AB2">
      <w:r>
        <w:t>Website:</w:t>
      </w:r>
      <w:r w:rsidR="00300647" w:rsidRPr="00300647">
        <w:t xml:space="preserve"> https://www.surf.nl/diensten-en-producten/surfaudit/normenkader-surfaudit/index.html</w:t>
      </w:r>
    </w:p>
    <w:bookmarkEnd w:id="43"/>
    <w:p w:rsidR="00A57EA7" w:rsidRDefault="00A57EA7" w:rsidP="00A57EA7">
      <w:pPr>
        <w:pStyle w:val="Kop3"/>
      </w:pPr>
      <w:r>
        <w:t>Toetsingskaders privacy en informatiebeveiliging</w:t>
      </w:r>
      <w:r w:rsidR="001F58FA">
        <w:t xml:space="preserve"> </w:t>
      </w:r>
    </w:p>
    <w:p w:rsidR="00A57EA7" w:rsidRDefault="00A57EA7" w:rsidP="00A57EA7">
      <w:pPr>
        <w:rPr>
          <w:i/>
        </w:rPr>
      </w:pPr>
      <w:r>
        <w:rPr>
          <w:i/>
        </w:rPr>
        <w:t xml:space="preserve">Werkingsgebied: </w:t>
      </w:r>
      <w:r w:rsidR="00B828CB">
        <w:rPr>
          <w:i/>
        </w:rPr>
        <w:t>middelbaar beroepsonderwijs</w:t>
      </w:r>
      <w:r>
        <w:rPr>
          <w:i/>
        </w:rPr>
        <w:br/>
        <w:t>Toepassingsgebied: (interne) organisatie</w:t>
      </w:r>
    </w:p>
    <w:p w:rsidR="00300647" w:rsidRDefault="00A57EA7" w:rsidP="00925183">
      <w:r>
        <w:t xml:space="preserve">Deze gerichte doorvertaling van het Normenkader </w:t>
      </w:r>
      <w:r w:rsidR="001F58FA">
        <w:t>informatiebeveiliging Hoger Onderwijs</w:t>
      </w:r>
      <w:r w:rsidR="00581918">
        <w:t xml:space="preserve"> </w:t>
      </w:r>
      <w:r w:rsidR="001F58FA">
        <w:t xml:space="preserve">door de MBO Taskforce informatiebeveiligingsbeleid (IBB) </w:t>
      </w:r>
      <w:r>
        <w:t>omvat een selectie van maatregelen uit ISO 27002. Het zijn zaken rond bescherming van veiligheid en continuïteit van bedrijfsgegevens en de privacy van studenten en medewerkers die een onderwijsinstelling ten minste geregeld moet hebben. De maatregelen zijn geclusterd; bij een assessment of audit wordt per cluster het volwassenheidsniveau van de instelling bepaald.</w:t>
      </w:r>
    </w:p>
    <w:p w:rsidR="00300647" w:rsidRDefault="00300647" w:rsidP="00925183">
      <w:r>
        <w:t xml:space="preserve">Website: </w:t>
      </w:r>
      <w:r w:rsidRPr="00300647">
        <w:t>http://www.kennisnet.nl/themas/informatiemanagement/informatiebeveiliging/</w:t>
      </w:r>
    </w:p>
    <w:p w:rsidR="00A57EA7" w:rsidRDefault="00925183" w:rsidP="00A57EA7">
      <w:pPr>
        <w:pStyle w:val="Kop3"/>
      </w:pPr>
      <w:proofErr w:type="spellStart"/>
      <w:r>
        <w:t>Privacyconvenant</w:t>
      </w:r>
      <w:proofErr w:type="spellEnd"/>
      <w:r>
        <w:t xml:space="preserve"> </w:t>
      </w:r>
      <w:r w:rsidR="00A57EA7">
        <w:t xml:space="preserve">Doorbraakproject </w:t>
      </w:r>
      <w:r w:rsidR="00B828CB">
        <w:t xml:space="preserve">onderwijs en </w:t>
      </w:r>
      <w:proofErr w:type="spellStart"/>
      <w:r w:rsidR="00B828CB">
        <w:t>ict</w:t>
      </w:r>
      <w:proofErr w:type="spellEnd"/>
    </w:p>
    <w:p w:rsidR="00A57EA7" w:rsidRDefault="00A57EA7" w:rsidP="00A57EA7">
      <w:pPr>
        <w:rPr>
          <w:i/>
        </w:rPr>
      </w:pPr>
      <w:r>
        <w:rPr>
          <w:i/>
        </w:rPr>
        <w:t xml:space="preserve">Werkingsgebied: </w:t>
      </w:r>
      <w:r w:rsidR="00B828CB">
        <w:rPr>
          <w:i/>
        </w:rPr>
        <w:t>primair en voortgezet onderwijs</w:t>
      </w:r>
      <w:r>
        <w:rPr>
          <w:i/>
        </w:rPr>
        <w:br/>
        <w:t>Toepassingsgebied: persoonsgegevens leerlingen</w:t>
      </w:r>
    </w:p>
    <w:p w:rsidR="0081340A" w:rsidRDefault="00A57EA7" w:rsidP="00925183">
      <w:r>
        <w:t>Het convenant i.o. omvat afspraken binnen de PO- en VO-sector over hoe om te gaan met privacygevoelige (</w:t>
      </w:r>
      <w:proofErr w:type="spellStart"/>
      <w:r>
        <w:t>persoons</w:t>
      </w:r>
      <w:proofErr w:type="spellEnd"/>
      <w:r>
        <w:t>)gegevens.</w:t>
      </w:r>
    </w:p>
    <w:p w:rsidR="00300647" w:rsidRDefault="00300647" w:rsidP="00925183">
      <w:r>
        <w:t xml:space="preserve">Website: </w:t>
      </w:r>
      <w:r w:rsidRPr="00300647">
        <w:t>http://doorbraakonderwijsenict.nl/themas/detail/thema-privacy</w:t>
      </w:r>
    </w:p>
    <w:p w:rsidR="006224DC" w:rsidRDefault="006224DC" w:rsidP="00187CC3">
      <w:pPr>
        <w:spacing w:after="0"/>
        <w:rPr>
          <w:rFonts w:asciiTheme="majorHAnsi" w:eastAsiaTheme="majorEastAsia" w:hAnsiTheme="majorHAnsi" w:cstheme="majorBidi"/>
          <w:b/>
          <w:bCs/>
          <w:color w:val="4F81BD" w:themeColor="accent1"/>
        </w:rPr>
      </w:pPr>
      <w:r w:rsidRPr="00BF66E3">
        <w:rPr>
          <w:rFonts w:asciiTheme="majorHAnsi" w:eastAsiaTheme="majorEastAsia" w:hAnsiTheme="majorHAnsi" w:cstheme="majorBidi"/>
          <w:b/>
          <w:bCs/>
          <w:color w:val="4F81BD" w:themeColor="accent1"/>
        </w:rPr>
        <w:t>Voorwaarden voor aansluiting van een instelling op Studielink</w:t>
      </w:r>
    </w:p>
    <w:p w:rsidR="006224DC" w:rsidRDefault="006224DC" w:rsidP="00187CC3">
      <w:pPr>
        <w:spacing w:after="0"/>
        <w:rPr>
          <w:i/>
        </w:rPr>
      </w:pPr>
      <w:r>
        <w:rPr>
          <w:i/>
        </w:rPr>
        <w:t>Werkingsgebied: hoger onderwijs</w:t>
      </w:r>
      <w:r>
        <w:rPr>
          <w:i/>
        </w:rPr>
        <w:br/>
        <w:t>Toepassingsgebied: aansluiten van een instelling op Studielink</w:t>
      </w:r>
    </w:p>
    <w:p w:rsidR="006224DC" w:rsidRPr="00812FF6" w:rsidRDefault="00187CC3" w:rsidP="006224DC">
      <w:r>
        <w:br/>
      </w:r>
      <w:r w:rsidR="006224DC" w:rsidRPr="00BF66E3">
        <w:t>Dit document is bedoeld voor een instelling van Hoger Onderwijs die wil aansluiten op Studielink. Het beoogt duidelijk te maken welke verantwoordelijkheden een aansluiting met zich meebrengt. Daarbij worden de voorwaarden van de aansluiting benoemd.</w:t>
      </w:r>
    </w:p>
    <w:p w:rsidR="00187CC3" w:rsidRDefault="00187CC3">
      <w:pPr>
        <w:rPr>
          <w:rFonts w:asciiTheme="majorHAnsi" w:eastAsiaTheme="majorEastAsia" w:hAnsiTheme="majorHAnsi" w:cstheme="majorBidi"/>
          <w:b/>
          <w:bCs/>
          <w:color w:val="4F81BD" w:themeColor="accent1"/>
          <w:sz w:val="26"/>
          <w:szCs w:val="26"/>
        </w:rPr>
      </w:pPr>
      <w:bookmarkStart w:id="44" w:name="_Toc410767900"/>
      <w:bookmarkStart w:id="45" w:name="_Toc410923390"/>
      <w:r>
        <w:br w:type="page"/>
      </w:r>
    </w:p>
    <w:p w:rsidR="003B50E6" w:rsidRDefault="00520D2D" w:rsidP="003B50E6">
      <w:pPr>
        <w:pStyle w:val="Kop2"/>
        <w:spacing w:before="0" w:line="260" w:lineRule="atLeast"/>
      </w:pPr>
      <w:bookmarkStart w:id="46" w:name="_Toc412100410"/>
      <w:r>
        <w:lastRenderedPageBreak/>
        <w:t>3</w:t>
      </w:r>
      <w:r w:rsidR="003B50E6">
        <w:t xml:space="preserve">.2 </w:t>
      </w:r>
      <w:r w:rsidR="008C3424">
        <w:t xml:space="preserve">Toetsingskaders voor </w:t>
      </w:r>
      <w:r w:rsidR="003B50E6">
        <w:t>Bewerkers</w:t>
      </w:r>
      <w:bookmarkEnd w:id="44"/>
      <w:bookmarkEnd w:id="45"/>
      <w:bookmarkEnd w:id="46"/>
    </w:p>
    <w:p w:rsidR="00A57EA7" w:rsidRDefault="00A57EA7" w:rsidP="00A57EA7">
      <w:pPr>
        <w:pStyle w:val="Kop3"/>
      </w:pPr>
      <w:r>
        <w:t>Certificeringsschema ROSA</w:t>
      </w:r>
    </w:p>
    <w:p w:rsidR="00A57EA7" w:rsidRPr="00585276" w:rsidRDefault="00A57EA7" w:rsidP="00A57EA7">
      <w:pPr>
        <w:rPr>
          <w:i/>
        </w:rPr>
      </w:pPr>
      <w:r>
        <w:rPr>
          <w:i/>
        </w:rPr>
        <w:t>Werkingsgebied: gehele onderwijsdomein</w:t>
      </w:r>
      <w:r>
        <w:rPr>
          <w:i/>
        </w:rPr>
        <w:br/>
        <w:t xml:space="preserve">Toepassingsgebied: aanbieden van </w:t>
      </w:r>
      <w:proofErr w:type="spellStart"/>
      <w:r>
        <w:rPr>
          <w:i/>
        </w:rPr>
        <w:t>clouddiensten</w:t>
      </w:r>
      <w:proofErr w:type="spellEnd"/>
      <w:r>
        <w:rPr>
          <w:i/>
        </w:rPr>
        <w:t xml:space="preserve"> via </w:t>
      </w:r>
      <w:proofErr w:type="spellStart"/>
      <w:r>
        <w:rPr>
          <w:i/>
        </w:rPr>
        <w:t>Edukoppeling</w:t>
      </w:r>
      <w:proofErr w:type="spellEnd"/>
    </w:p>
    <w:p w:rsidR="00A57EA7" w:rsidRDefault="00A57EA7" w:rsidP="00A57EA7">
      <w:r>
        <w:t xml:space="preserve">Het Certificeringsschema ROSA is bedoeld voor leveranciers van </w:t>
      </w:r>
      <w:proofErr w:type="spellStart"/>
      <w:r>
        <w:t>clouddiensten</w:t>
      </w:r>
      <w:proofErr w:type="spellEnd"/>
      <w:r>
        <w:t xml:space="preserve">. Een </w:t>
      </w:r>
      <w:proofErr w:type="spellStart"/>
      <w:r>
        <w:t>cloudleverancier</w:t>
      </w:r>
      <w:proofErr w:type="spellEnd"/>
      <w:r>
        <w:t xml:space="preserve"> moet aan de normen in dit schema voldoen, vóórdat de betreffende </w:t>
      </w:r>
      <w:proofErr w:type="spellStart"/>
      <w:r>
        <w:t>clouddienst</w:t>
      </w:r>
      <w:proofErr w:type="spellEnd"/>
      <w:r>
        <w:t xml:space="preserve"> binnen de context van </w:t>
      </w:r>
      <w:proofErr w:type="spellStart"/>
      <w:r>
        <w:t>Edukoppeling</w:t>
      </w:r>
      <w:proofErr w:type="spellEnd"/>
      <w:r>
        <w:t xml:space="preserve"> mag worden ingezet.</w:t>
      </w:r>
    </w:p>
    <w:p w:rsidR="00145261" w:rsidRDefault="00300647" w:rsidP="00145261">
      <w:r>
        <w:t xml:space="preserve">Website: </w:t>
      </w:r>
      <w:r w:rsidRPr="00300647">
        <w:t>http://www.edustandaard.nl/standaarden/afspraken/afspraak/certificeringsschema-rosa/</w:t>
      </w:r>
    </w:p>
    <w:p w:rsidR="00C01082" w:rsidRDefault="00A57EA7" w:rsidP="00C01082">
      <w:pPr>
        <w:pStyle w:val="Kop3"/>
        <w:spacing w:before="0" w:line="260" w:lineRule="atLeast"/>
      </w:pPr>
      <w:r w:rsidRPr="00FC50AD">
        <w:t xml:space="preserve">SURF Juridisch </w:t>
      </w:r>
      <w:r>
        <w:t>n</w:t>
      </w:r>
      <w:r w:rsidRPr="00FC50AD">
        <w:t xml:space="preserve">ormenkader </w:t>
      </w:r>
      <w:proofErr w:type="spellStart"/>
      <w:r>
        <w:t>c</w:t>
      </w:r>
      <w:r w:rsidRPr="00FC50AD">
        <w:t>loudservices</w:t>
      </w:r>
      <w:proofErr w:type="spellEnd"/>
      <w:r w:rsidRPr="00FC50AD">
        <w:t xml:space="preserve"> </w:t>
      </w:r>
      <w:r>
        <w:t>hoger onderwijs</w:t>
      </w:r>
    </w:p>
    <w:p w:rsidR="00A57EA7" w:rsidRPr="00585276" w:rsidRDefault="00A57EA7" w:rsidP="00A57EA7">
      <w:pPr>
        <w:rPr>
          <w:i/>
        </w:rPr>
      </w:pPr>
      <w:r>
        <w:rPr>
          <w:i/>
        </w:rPr>
        <w:t>Werkingsgebied: hoger onderwijs</w:t>
      </w:r>
      <w:r>
        <w:rPr>
          <w:i/>
        </w:rPr>
        <w:br/>
        <w:t xml:space="preserve">Toepassingsgebied: afnemen van </w:t>
      </w:r>
      <w:proofErr w:type="spellStart"/>
      <w:r>
        <w:rPr>
          <w:i/>
        </w:rPr>
        <w:t>clouddiensten</w:t>
      </w:r>
      <w:proofErr w:type="spellEnd"/>
    </w:p>
    <w:p w:rsidR="00A57EA7" w:rsidRDefault="00A57EA7" w:rsidP="00BB1AB2">
      <w:r w:rsidRPr="00FC50AD">
        <w:t xml:space="preserve">Dit normenkader geeft een overzicht van de best </w:t>
      </w:r>
      <w:proofErr w:type="spellStart"/>
      <w:r w:rsidRPr="00FC50AD">
        <w:t>practice</w:t>
      </w:r>
      <w:proofErr w:type="spellEnd"/>
      <w:r w:rsidRPr="00FC50AD">
        <w:t xml:space="preserve"> clausules voor overeenkomsten met leveranciers van </w:t>
      </w:r>
      <w:proofErr w:type="spellStart"/>
      <w:r w:rsidRPr="00FC50AD">
        <w:t>clouddiensten</w:t>
      </w:r>
      <w:proofErr w:type="spellEnd"/>
      <w:r w:rsidRPr="00FC50AD">
        <w:t xml:space="preserve"> in het </w:t>
      </w:r>
      <w:r>
        <w:t>h</w:t>
      </w:r>
      <w:r w:rsidRPr="00FC50AD">
        <w:t xml:space="preserve">oger </w:t>
      </w:r>
      <w:r>
        <w:t>o</w:t>
      </w:r>
      <w:r w:rsidRPr="00FC50AD">
        <w:t xml:space="preserve">nderwijs. Het juridisch normenkader omvat clausules die in lijn zijn met actuele nationale en Europese regelgeving op het gebied van o.a. gegevensbescherming en privacy. </w:t>
      </w:r>
    </w:p>
    <w:p w:rsidR="00300647" w:rsidRPr="00FC50AD" w:rsidRDefault="00300647" w:rsidP="00BB1AB2">
      <w:r>
        <w:t xml:space="preserve">Website: </w:t>
      </w:r>
      <w:r w:rsidRPr="00300647">
        <w:t>https://www.surf.nl/kennis-en-innovatie/kennisbank/2013/juridisch-normenkader-cloud-services-hoger-onderwijs.html</w:t>
      </w:r>
    </w:p>
    <w:p w:rsidR="00145261" w:rsidRDefault="006224DC" w:rsidP="006224DC">
      <w:pPr>
        <w:pStyle w:val="Kop3"/>
      </w:pPr>
      <w:r>
        <w:t>Studielink SIS-Adapter certificatie criteria</w:t>
      </w:r>
    </w:p>
    <w:p w:rsidR="006224DC" w:rsidRDefault="006224DC" w:rsidP="006224DC">
      <w:pPr>
        <w:rPr>
          <w:i/>
        </w:rPr>
      </w:pPr>
      <w:r>
        <w:rPr>
          <w:i/>
        </w:rPr>
        <w:t>Werkingsgebied: hoger onderwijs</w:t>
      </w:r>
      <w:r>
        <w:rPr>
          <w:i/>
        </w:rPr>
        <w:br/>
        <w:t>Toepassingsgebied: aansluiten van leverancier</w:t>
      </w:r>
      <w:r w:rsidR="00261BEA">
        <w:rPr>
          <w:i/>
        </w:rPr>
        <w:t>s</w:t>
      </w:r>
      <w:r>
        <w:rPr>
          <w:i/>
        </w:rPr>
        <w:t xml:space="preserve"> op Studielink</w:t>
      </w:r>
    </w:p>
    <w:p w:rsidR="006224DC" w:rsidRDefault="006224DC" w:rsidP="006224DC">
      <w:r>
        <w:t>Omdat veel ho-instellingen hetzelfde Student Informatie Systeem (SIS), (inclusief adapter naar Studielink) gebruiken heeft het zin om op SIS niveau een belangrijk deel van de testen (voor alle gebruikende instellingen) uit te voeren. Certificatie toont aan dat het SIS met Studielink-adapter de inschrijfverzoeken en andere activiteiten ter ondersteuning van het inschrijfproces juist, tijdig, volledig en veilig via berichten met Studielink kan uitwisselen.</w:t>
      </w:r>
      <w:r w:rsidR="009A4FF5">
        <w:t xml:space="preserve"> Certificatie vindt niet alleen plaats bij aansluiting, maar ook bij majeure wijzigingen in Studielink.</w:t>
      </w:r>
    </w:p>
    <w:p w:rsidR="00BF66E3" w:rsidRDefault="006224DC" w:rsidP="006224DC">
      <w:pPr>
        <w:pStyle w:val="Kop3"/>
      </w:pPr>
      <w:r>
        <w:t>Kwalificatie Overstap Service Onderwijs</w:t>
      </w:r>
    </w:p>
    <w:p w:rsidR="006224DC" w:rsidRDefault="006224DC" w:rsidP="006224DC">
      <w:pPr>
        <w:rPr>
          <w:i/>
        </w:rPr>
      </w:pPr>
      <w:r>
        <w:rPr>
          <w:i/>
        </w:rPr>
        <w:t>Werkingsgebied: po en vo</w:t>
      </w:r>
      <w:r>
        <w:rPr>
          <w:i/>
        </w:rPr>
        <w:br/>
        <w:t xml:space="preserve">Toepassingsgebied: </w:t>
      </w:r>
      <w:r w:rsidR="00261BEA">
        <w:rPr>
          <w:i/>
        </w:rPr>
        <w:t>aansluiten van leveranciers op de voorziening OSO</w:t>
      </w:r>
    </w:p>
    <w:p w:rsidR="00261BEA" w:rsidRPr="00261BEA" w:rsidRDefault="003D552D" w:rsidP="006224DC">
      <w:r w:rsidRPr="003D552D">
        <w:t>De meeste softwareleveranciers in het primair en voortgezet onderwijs hebben hun systemen inmiddels voorzien van</w:t>
      </w:r>
      <w:r>
        <w:t xml:space="preserve"> een aansluiting op de Overstap Service Onderwijs</w:t>
      </w:r>
      <w:r w:rsidRPr="003D552D">
        <w:t>. Deze leveranciers hebben hiervoor een overeenkomst gesloten met OSO en conform afgesproken standaarden en veiligheidseisen hun programma’s voorzien van extra OSO functionaliteiten.</w:t>
      </w:r>
    </w:p>
    <w:p w:rsidR="00CE5569" w:rsidRDefault="00CE5569">
      <w:pPr>
        <w:rPr>
          <w:rFonts w:eastAsiaTheme="majorEastAsia"/>
        </w:rPr>
      </w:pPr>
      <w:r>
        <w:rPr>
          <w:rFonts w:eastAsiaTheme="majorEastAsia"/>
        </w:rPr>
        <w:br w:type="page"/>
      </w:r>
    </w:p>
    <w:p w:rsidR="00812FF6" w:rsidRPr="00F773FB" w:rsidRDefault="00812FF6" w:rsidP="00812FF6">
      <w:pPr>
        <w:pStyle w:val="Kop1"/>
      </w:pPr>
      <w:bookmarkStart w:id="47" w:name="_Toc410767901"/>
      <w:bookmarkStart w:id="48" w:name="_Toc410923392"/>
      <w:bookmarkStart w:id="49" w:name="_Toc412100411"/>
      <w:r>
        <w:lastRenderedPageBreak/>
        <w:t xml:space="preserve">Bijlage: </w:t>
      </w:r>
      <w:r w:rsidRPr="00F773FB">
        <w:t>Begrippen</w:t>
      </w:r>
      <w:r>
        <w:t>lijst</w:t>
      </w:r>
      <w:bookmarkEnd w:id="47"/>
      <w:bookmarkEnd w:id="48"/>
      <w:bookmarkEnd w:id="49"/>
    </w:p>
    <w:p w:rsidR="00812FF6" w:rsidRPr="00F773FB" w:rsidRDefault="00812FF6" w:rsidP="00812FF6">
      <w:r>
        <w:t>De begrippen die in dit document worden gebruikt sluiten zo veel mogelijk aan bij definities uit bestaande begrippenlijsten. Bij elk begrip hieronder is een verwijzing naar de bron van de definitie opgenomen.</w:t>
      </w:r>
    </w:p>
    <w:p w:rsidR="00812FF6" w:rsidRPr="00846318" w:rsidRDefault="00812FF6" w:rsidP="00812FF6">
      <w:pPr>
        <w:rPr>
          <w:i/>
        </w:rPr>
      </w:pPr>
      <w:r>
        <w:rPr>
          <w:b/>
        </w:rPr>
        <w:t>Audit</w:t>
      </w:r>
      <w:r>
        <w:rPr>
          <w:b/>
        </w:rPr>
        <w:tab/>
      </w:r>
      <w:r>
        <w:rPr>
          <w:b/>
        </w:rPr>
        <w:tab/>
      </w:r>
      <w:r>
        <w:rPr>
          <w:b/>
        </w:rPr>
        <w:tab/>
      </w:r>
      <w:r>
        <w:t xml:space="preserve">Systematisch, onafhankelijk en gedocumenteerd proces voor het verkrijgen </w:t>
      </w:r>
      <w:r>
        <w:tab/>
      </w:r>
      <w:r>
        <w:tab/>
      </w:r>
      <w:r>
        <w:tab/>
        <w:t xml:space="preserve">en objectief evalueren van bewijs teneinde vast te stellen in hoeverre aan </w:t>
      </w:r>
      <w:r>
        <w:tab/>
      </w:r>
      <w:r>
        <w:tab/>
      </w:r>
      <w:r>
        <w:tab/>
        <w:t>een toetsingskader is voldaan.</w:t>
      </w:r>
      <w:r>
        <w:br/>
      </w:r>
      <w:r>
        <w:tab/>
      </w:r>
      <w:r>
        <w:tab/>
      </w:r>
      <w:r>
        <w:tab/>
      </w:r>
      <w:r>
        <w:rPr>
          <w:i/>
        </w:rPr>
        <w:t>ISO 27001:201</w:t>
      </w:r>
      <w:r w:rsidR="00C8724A">
        <w:rPr>
          <w:i/>
        </w:rPr>
        <w:t>3</w:t>
      </w:r>
      <w:r>
        <w:rPr>
          <w:i/>
        </w:rPr>
        <w:t xml:space="preserve"> (audit)</w:t>
      </w:r>
    </w:p>
    <w:p w:rsidR="00812FF6" w:rsidRPr="00846318" w:rsidRDefault="00812FF6" w:rsidP="00812FF6">
      <w:pPr>
        <w:rPr>
          <w:b/>
          <w:i/>
        </w:rPr>
      </w:pPr>
      <w:r>
        <w:rPr>
          <w:b/>
        </w:rPr>
        <w:t>Assessment</w:t>
      </w:r>
      <w:r>
        <w:rPr>
          <w:b/>
        </w:rPr>
        <w:tab/>
      </w:r>
      <w:r>
        <w:rPr>
          <w:b/>
        </w:rPr>
        <w:tab/>
      </w:r>
      <w:r>
        <w:t xml:space="preserve">Zie </w:t>
      </w:r>
      <w:r>
        <w:rPr>
          <w:b/>
          <w:i/>
        </w:rPr>
        <w:t>Audit</w:t>
      </w:r>
    </w:p>
    <w:p w:rsidR="00812FF6" w:rsidRPr="001C7ECE" w:rsidRDefault="00812FF6" w:rsidP="00812FF6">
      <w:pPr>
        <w:rPr>
          <w:i/>
        </w:rPr>
      </w:pPr>
      <w:r>
        <w:rPr>
          <w:b/>
        </w:rPr>
        <w:t>Beheersmaatregel</w:t>
      </w:r>
      <w:r>
        <w:rPr>
          <w:b/>
        </w:rPr>
        <w:tab/>
      </w:r>
      <w:r>
        <w:t>Maatregel die risico wijzigt</w:t>
      </w:r>
      <w:r>
        <w:br/>
      </w:r>
      <w:r>
        <w:tab/>
      </w:r>
      <w:r>
        <w:tab/>
      </w:r>
      <w:r>
        <w:tab/>
      </w:r>
      <w:r w:rsidR="00C8724A">
        <w:rPr>
          <w:i/>
        </w:rPr>
        <w:t>ISO 27000:2013</w:t>
      </w:r>
      <w:r>
        <w:rPr>
          <w:i/>
        </w:rPr>
        <w:t xml:space="preserve"> (control)</w:t>
      </w:r>
    </w:p>
    <w:p w:rsidR="00812FF6" w:rsidRDefault="00812FF6" w:rsidP="00812FF6">
      <w:pPr>
        <w:rPr>
          <w:i/>
        </w:rPr>
      </w:pPr>
      <w:r>
        <w:rPr>
          <w:b/>
        </w:rPr>
        <w:t>Beschikbaarheid</w:t>
      </w:r>
      <w:r>
        <w:rPr>
          <w:b/>
        </w:rPr>
        <w:tab/>
      </w:r>
      <w:r>
        <w:t xml:space="preserve">De eigenschap van het toegankelijk en bruikbaar zijn op aanvraag van een </w:t>
      </w:r>
      <w:r>
        <w:tab/>
      </w:r>
      <w:r>
        <w:tab/>
      </w:r>
      <w:r>
        <w:tab/>
        <w:t>geautoriseerde entiteit</w:t>
      </w:r>
      <w:r>
        <w:br/>
      </w:r>
      <w:r>
        <w:tab/>
      </w:r>
      <w:r>
        <w:tab/>
      </w:r>
      <w:r>
        <w:tab/>
      </w:r>
      <w:r>
        <w:rPr>
          <w:i/>
        </w:rPr>
        <w:t>ISO 27000:2014 (availability)</w:t>
      </w:r>
    </w:p>
    <w:p w:rsidR="00812FF6" w:rsidRPr="00C47A4A" w:rsidRDefault="00812FF6" w:rsidP="00812FF6">
      <w:pPr>
        <w:ind w:left="2124"/>
        <w:rPr>
          <w:i/>
        </w:rPr>
      </w:pPr>
      <w:r w:rsidRPr="00C47A4A">
        <w:t xml:space="preserve">Beschikbaarheid betreft het waarborgen dat geautoriseerde gebruikers op de juiste momenten toegang hebben tot informatie en aanverwante bedrijfsmiddelen. Aantasting van </w:t>
      </w:r>
      <w:r w:rsidRPr="00D80BA6">
        <w:t>beschikbaarheid kan bijvoorbeeld leiden tot aantasting van de continuïteit van bedrijfs- en/of ketenprocessen.</w:t>
      </w:r>
    </w:p>
    <w:p w:rsidR="00812FF6" w:rsidRPr="004A3CEA" w:rsidRDefault="00812FF6" w:rsidP="00812FF6">
      <w:pPr>
        <w:rPr>
          <w:i/>
        </w:rPr>
      </w:pPr>
      <w:r>
        <w:rPr>
          <w:b/>
        </w:rPr>
        <w:t>Beveiliging</w:t>
      </w:r>
      <w:r>
        <w:rPr>
          <w:b/>
        </w:rPr>
        <w:tab/>
      </w:r>
      <w:r>
        <w:rPr>
          <w:b/>
        </w:rPr>
        <w:tab/>
      </w:r>
      <w:r>
        <w:t>Behoud van vertrouwelijkheid, integriteit en beschikbaarheid van informatie</w:t>
      </w:r>
      <w:r>
        <w:br/>
      </w:r>
      <w:r>
        <w:tab/>
      </w:r>
      <w:r>
        <w:tab/>
      </w:r>
      <w:r>
        <w:tab/>
      </w:r>
      <w:r>
        <w:rPr>
          <w:i/>
        </w:rPr>
        <w:t>ISO 27000:201</w:t>
      </w:r>
      <w:r w:rsidR="00C8724A">
        <w:rPr>
          <w:i/>
        </w:rPr>
        <w:t>3</w:t>
      </w:r>
      <w:r>
        <w:rPr>
          <w:i/>
        </w:rPr>
        <w:t xml:space="preserve"> (information security)</w:t>
      </w:r>
    </w:p>
    <w:p w:rsidR="008E6B87" w:rsidRPr="008E6B87" w:rsidRDefault="008E6B87" w:rsidP="00812FF6">
      <w:pPr>
        <w:rPr>
          <w:b/>
          <w:i/>
        </w:rPr>
      </w:pPr>
      <w:r>
        <w:rPr>
          <w:b/>
        </w:rPr>
        <w:t>Bewerker</w:t>
      </w:r>
      <w:r>
        <w:rPr>
          <w:b/>
        </w:rPr>
        <w:tab/>
      </w:r>
      <w:r>
        <w:rPr>
          <w:b/>
        </w:rPr>
        <w:tab/>
      </w:r>
      <w:r>
        <w:t>Partij die ten behoeven van een verantwoordelijke gegevens verwerkt.</w:t>
      </w:r>
      <w:r>
        <w:br/>
      </w:r>
      <w:r w:rsidR="006049F5">
        <w:rPr>
          <w:i/>
        </w:rPr>
        <w:tab/>
      </w:r>
      <w:r w:rsidR="006049F5">
        <w:rPr>
          <w:i/>
        </w:rPr>
        <w:tab/>
      </w:r>
      <w:r w:rsidR="006049F5">
        <w:rPr>
          <w:i/>
        </w:rPr>
        <w:tab/>
      </w:r>
      <w:proofErr w:type="spellStart"/>
      <w:r w:rsidR="006049F5">
        <w:rPr>
          <w:i/>
        </w:rPr>
        <w:t>Wbp</w:t>
      </w:r>
      <w:proofErr w:type="spellEnd"/>
      <w:r w:rsidR="006049F5">
        <w:rPr>
          <w:i/>
        </w:rPr>
        <w:t xml:space="preserve"> (NB. </w:t>
      </w:r>
      <w:proofErr w:type="spellStart"/>
      <w:r w:rsidR="006049F5">
        <w:rPr>
          <w:i/>
        </w:rPr>
        <w:t>Wbp</w:t>
      </w:r>
      <w:proofErr w:type="spellEnd"/>
      <w:r w:rsidR="006049F5">
        <w:rPr>
          <w:i/>
        </w:rPr>
        <w:t xml:space="preserve"> beperkt definitie tot verwerking van </w:t>
      </w:r>
      <w:r w:rsidR="006049F5">
        <w:rPr>
          <w:i/>
          <w:u w:val="single"/>
        </w:rPr>
        <w:t>persoons</w:t>
      </w:r>
      <w:r w:rsidR="006049F5">
        <w:rPr>
          <w:i/>
        </w:rPr>
        <w:t>gegevens)</w:t>
      </w:r>
      <w:r w:rsidR="006049F5">
        <w:rPr>
          <w:i/>
        </w:rPr>
        <w:tab/>
      </w:r>
      <w:r>
        <w:rPr>
          <w:i/>
        </w:rPr>
        <w:tab/>
      </w:r>
      <w:r>
        <w:rPr>
          <w:i/>
        </w:rPr>
        <w:tab/>
      </w:r>
      <w:r>
        <w:rPr>
          <w:i/>
        </w:rPr>
        <w:tab/>
        <w:t xml:space="preserve">zie ook: </w:t>
      </w:r>
      <w:r>
        <w:rPr>
          <w:b/>
          <w:i/>
        </w:rPr>
        <w:t>Verantwoordelijke</w:t>
      </w:r>
    </w:p>
    <w:p w:rsidR="00812FF6" w:rsidRPr="00642B36" w:rsidRDefault="00812FF6" w:rsidP="00812FF6">
      <w:pPr>
        <w:rPr>
          <w:i/>
        </w:rPr>
      </w:pPr>
      <w:r>
        <w:rPr>
          <w:b/>
        </w:rPr>
        <w:t>Bewijs</w:t>
      </w:r>
      <w:r>
        <w:rPr>
          <w:b/>
        </w:rPr>
        <w:tab/>
      </w:r>
      <w:r>
        <w:rPr>
          <w:b/>
        </w:rPr>
        <w:tab/>
      </w:r>
      <w:r>
        <w:rPr>
          <w:b/>
        </w:rPr>
        <w:tab/>
      </w:r>
      <w:r>
        <w:t xml:space="preserve">Feitelijke verklaringen of andere informatie die controleerbaar </w:t>
      </w:r>
      <w:r>
        <w:tab/>
        <w:t xml:space="preserve">is en relevant </w:t>
      </w:r>
      <w:r>
        <w:tab/>
      </w:r>
      <w:r>
        <w:tab/>
      </w:r>
      <w:r>
        <w:tab/>
        <w:t xml:space="preserve">voor een toetsingskader. </w:t>
      </w:r>
      <w:r>
        <w:br/>
      </w:r>
      <w:r>
        <w:tab/>
      </w:r>
      <w:r>
        <w:tab/>
      </w:r>
      <w:r>
        <w:tab/>
      </w:r>
      <w:r>
        <w:rPr>
          <w:i/>
        </w:rPr>
        <w:t xml:space="preserve">ISO 19011:2011 (audit </w:t>
      </w:r>
      <w:proofErr w:type="spellStart"/>
      <w:r>
        <w:rPr>
          <w:i/>
        </w:rPr>
        <w:t>evidence</w:t>
      </w:r>
      <w:proofErr w:type="spellEnd"/>
      <w:r>
        <w:rPr>
          <w:i/>
        </w:rPr>
        <w:t>)</w:t>
      </w:r>
    </w:p>
    <w:p w:rsidR="00812FF6" w:rsidRPr="006C6C2A" w:rsidRDefault="00812FF6" w:rsidP="00812FF6">
      <w:r w:rsidRPr="00C47A4A">
        <w:rPr>
          <w:b/>
        </w:rPr>
        <w:t>Integriteit</w:t>
      </w:r>
      <w:r w:rsidRPr="00C47A4A">
        <w:tab/>
      </w:r>
      <w:r w:rsidRPr="00C47A4A">
        <w:tab/>
        <w:t>De eig</w:t>
      </w:r>
      <w:r w:rsidRPr="006D7265">
        <w:t>ensc</w:t>
      </w:r>
      <w:r>
        <w:t>hap van juistheid en volledigheid.</w:t>
      </w:r>
      <w:r>
        <w:br/>
      </w:r>
      <w:r>
        <w:tab/>
      </w:r>
      <w:r>
        <w:tab/>
      </w:r>
      <w:r>
        <w:tab/>
      </w:r>
      <w:r w:rsidRPr="006C6C2A">
        <w:t>ISO 27000:201</w:t>
      </w:r>
      <w:r w:rsidR="00C8724A">
        <w:t>3</w:t>
      </w:r>
      <w:r w:rsidRPr="006C6C2A">
        <w:t xml:space="preserve"> (</w:t>
      </w:r>
      <w:proofErr w:type="spellStart"/>
      <w:r w:rsidRPr="006C6C2A">
        <w:t>integrity</w:t>
      </w:r>
      <w:proofErr w:type="spellEnd"/>
      <w:r w:rsidRPr="006C6C2A">
        <w:t>)</w:t>
      </w:r>
    </w:p>
    <w:p w:rsidR="00812FF6" w:rsidRPr="006C6C2A" w:rsidRDefault="00812FF6" w:rsidP="006C6C2A">
      <w:pPr>
        <w:ind w:left="2124"/>
      </w:pPr>
      <w:r w:rsidRPr="00C47A4A">
        <w:t>Integriteit betreft het waarborgen van de juistheid, volledigheid en tijdigheid van informatie. Informatie waarvoor de integriteit op orde is, is dus informatie die 'klopt'. Merk op dat een aantasting van vertrouwelijkheid (waardoor onbevoegden bijvoorbeeld mutaties kunnen doorvoeren) kan leiden tot een aantasting van integriteit.</w:t>
      </w:r>
    </w:p>
    <w:p w:rsidR="00812FF6" w:rsidRPr="00DB6B99" w:rsidRDefault="00812FF6" w:rsidP="00812FF6">
      <w:pPr>
        <w:rPr>
          <w:i/>
        </w:rPr>
      </w:pPr>
      <w:r>
        <w:rPr>
          <w:b/>
        </w:rPr>
        <w:t>Kader</w:t>
      </w:r>
      <w:r>
        <w:rPr>
          <w:b/>
        </w:rPr>
        <w:tab/>
      </w:r>
      <w:r>
        <w:rPr>
          <w:b/>
        </w:rPr>
        <w:tab/>
      </w:r>
      <w:r>
        <w:rPr>
          <w:b/>
        </w:rPr>
        <w:tab/>
      </w:r>
      <w:r>
        <w:t>Verzameling beleid, procedures en/of eisen</w:t>
      </w:r>
      <w:r>
        <w:br/>
      </w:r>
      <w:r>
        <w:tab/>
      </w:r>
      <w:r>
        <w:tab/>
      </w:r>
      <w:r>
        <w:tab/>
      </w:r>
      <w:r>
        <w:rPr>
          <w:i/>
        </w:rPr>
        <w:t xml:space="preserve">zie ook </w:t>
      </w:r>
      <w:r>
        <w:rPr>
          <w:b/>
          <w:i/>
        </w:rPr>
        <w:t>Normenkader</w:t>
      </w:r>
      <w:r>
        <w:rPr>
          <w:i/>
        </w:rPr>
        <w:t xml:space="preserve">, </w:t>
      </w:r>
      <w:r>
        <w:rPr>
          <w:b/>
          <w:i/>
        </w:rPr>
        <w:t>Toetsingskader</w:t>
      </w:r>
    </w:p>
    <w:p w:rsidR="00812FF6" w:rsidRDefault="00812FF6" w:rsidP="00812FF6">
      <w:r>
        <w:rPr>
          <w:b/>
        </w:rPr>
        <w:t>Ketenpartij</w:t>
      </w:r>
      <w:r>
        <w:rPr>
          <w:b/>
        </w:rPr>
        <w:tab/>
      </w:r>
      <w:r>
        <w:rPr>
          <w:b/>
        </w:rPr>
        <w:tab/>
      </w:r>
      <w:r>
        <w:t>Een partij die een rol speelt in een ketenproces</w:t>
      </w:r>
    </w:p>
    <w:p w:rsidR="00812FF6" w:rsidRPr="001C7ECE" w:rsidRDefault="00812FF6" w:rsidP="00812FF6">
      <w:r>
        <w:rPr>
          <w:b/>
        </w:rPr>
        <w:lastRenderedPageBreak/>
        <w:t>Ketenproces</w:t>
      </w:r>
      <w:r>
        <w:rPr>
          <w:b/>
        </w:rPr>
        <w:tab/>
      </w:r>
      <w:r>
        <w:rPr>
          <w:b/>
        </w:rPr>
        <w:tab/>
      </w:r>
      <w:r>
        <w:t xml:space="preserve">Een samenwerking tussen entiteiten die dient om een (gezamenlijk) doel te </w:t>
      </w:r>
      <w:r>
        <w:tab/>
      </w:r>
      <w:r>
        <w:tab/>
      </w:r>
      <w:r>
        <w:tab/>
        <w:t>realiseren.</w:t>
      </w:r>
    </w:p>
    <w:p w:rsidR="00812FF6" w:rsidRDefault="00812FF6" w:rsidP="00812FF6">
      <w:pPr>
        <w:rPr>
          <w:i/>
        </w:rPr>
      </w:pPr>
      <w:r>
        <w:rPr>
          <w:b/>
        </w:rPr>
        <w:t>Maatregel</w:t>
      </w:r>
      <w:r>
        <w:rPr>
          <w:b/>
        </w:rPr>
        <w:tab/>
      </w:r>
      <w:r>
        <w:rPr>
          <w:b/>
        </w:rPr>
        <w:tab/>
      </w:r>
      <w:r>
        <w:t>Handeling of ingreep met een bepaald doel</w:t>
      </w:r>
      <w:r>
        <w:br/>
      </w:r>
      <w:r>
        <w:tab/>
      </w:r>
      <w:r>
        <w:tab/>
      </w:r>
      <w:r>
        <w:tab/>
      </w:r>
      <w:r>
        <w:rPr>
          <w:i/>
        </w:rPr>
        <w:t>Van Dale</w:t>
      </w:r>
    </w:p>
    <w:p w:rsidR="00812FF6" w:rsidRPr="00DB6B99" w:rsidRDefault="00812FF6" w:rsidP="00812FF6">
      <w:pPr>
        <w:rPr>
          <w:i/>
        </w:rPr>
      </w:pPr>
      <w:r>
        <w:rPr>
          <w:b/>
        </w:rPr>
        <w:t>Norm</w:t>
      </w:r>
      <w:r>
        <w:rPr>
          <w:b/>
        </w:rPr>
        <w:tab/>
      </w:r>
      <w:r>
        <w:rPr>
          <w:b/>
        </w:rPr>
        <w:tab/>
      </w:r>
      <w:r>
        <w:rPr>
          <w:b/>
        </w:rPr>
        <w:tab/>
      </w:r>
      <w:r>
        <w:t>Beleid, procedure of eis gebruikt als referentie</w:t>
      </w:r>
      <w:r>
        <w:br/>
      </w:r>
      <w:r>
        <w:tab/>
      </w:r>
      <w:r>
        <w:tab/>
      </w:r>
      <w:r>
        <w:tab/>
      </w:r>
      <w:r>
        <w:rPr>
          <w:i/>
        </w:rPr>
        <w:t xml:space="preserve">zie ook </w:t>
      </w:r>
      <w:r>
        <w:rPr>
          <w:b/>
          <w:i/>
        </w:rPr>
        <w:t>Normenkader</w:t>
      </w:r>
      <w:r>
        <w:rPr>
          <w:i/>
        </w:rPr>
        <w:t xml:space="preserve">, </w:t>
      </w:r>
      <w:r>
        <w:rPr>
          <w:b/>
          <w:i/>
        </w:rPr>
        <w:t>Toetsingskader</w:t>
      </w:r>
    </w:p>
    <w:p w:rsidR="00812FF6" w:rsidRPr="00DB6B99" w:rsidRDefault="00812FF6" w:rsidP="00812FF6">
      <w:pPr>
        <w:rPr>
          <w:i/>
        </w:rPr>
      </w:pPr>
      <w:r>
        <w:rPr>
          <w:b/>
        </w:rPr>
        <w:t>Normenkader</w:t>
      </w:r>
      <w:r>
        <w:rPr>
          <w:b/>
        </w:rPr>
        <w:tab/>
      </w:r>
      <w:r>
        <w:rPr>
          <w:b/>
        </w:rPr>
        <w:tab/>
      </w:r>
      <w:r>
        <w:t>Verzameling beleid, procedures en/of eisen gebruikt als referentie</w:t>
      </w:r>
      <w:r>
        <w:br/>
      </w:r>
      <w:r>
        <w:tab/>
      </w:r>
      <w:r>
        <w:tab/>
      </w:r>
      <w:r>
        <w:tab/>
      </w:r>
      <w:r>
        <w:rPr>
          <w:i/>
        </w:rPr>
        <w:t xml:space="preserve">zie ook </w:t>
      </w:r>
      <w:r w:rsidRPr="00DB6B99">
        <w:rPr>
          <w:b/>
          <w:i/>
        </w:rPr>
        <w:t>Toetsingskader</w:t>
      </w:r>
    </w:p>
    <w:p w:rsidR="00812FF6" w:rsidRPr="00594A03" w:rsidRDefault="00812FF6" w:rsidP="00812FF6">
      <w:pPr>
        <w:rPr>
          <w:i/>
        </w:rPr>
      </w:pPr>
      <w:r>
        <w:rPr>
          <w:b/>
        </w:rPr>
        <w:t>Privacy</w:t>
      </w:r>
      <w:r>
        <w:rPr>
          <w:b/>
        </w:rPr>
        <w:tab/>
      </w:r>
      <w:r>
        <w:rPr>
          <w:b/>
        </w:rPr>
        <w:tab/>
      </w:r>
      <w:r>
        <w:rPr>
          <w:b/>
        </w:rPr>
        <w:tab/>
      </w:r>
      <w:r>
        <w:t xml:space="preserve">Het recht om in de beslotenheid van de persoonlijke levenssfeer met rust te </w:t>
      </w:r>
      <w:r>
        <w:tab/>
      </w:r>
      <w:r>
        <w:tab/>
      </w:r>
      <w:r>
        <w:tab/>
        <w:t xml:space="preserve">worden gelaten, waaronder het recht op zorgvuldige behandeling van </w:t>
      </w:r>
      <w:r>
        <w:tab/>
      </w:r>
      <w:r>
        <w:tab/>
      </w:r>
      <w:r>
        <w:tab/>
      </w:r>
      <w:r>
        <w:tab/>
        <w:t>persoonlijke gegevens.</w:t>
      </w:r>
      <w:r>
        <w:br/>
      </w:r>
      <w:r>
        <w:tab/>
      </w:r>
      <w:r>
        <w:tab/>
      </w:r>
      <w:r>
        <w:tab/>
      </w:r>
      <w:r>
        <w:rPr>
          <w:i/>
        </w:rPr>
        <w:t>zie Grondwet, artikel 10</w:t>
      </w:r>
      <w:r w:rsidR="00C8724A">
        <w:rPr>
          <w:i/>
        </w:rPr>
        <w:t>, lid 2 en 3</w:t>
      </w:r>
    </w:p>
    <w:p w:rsidR="00812FF6" w:rsidRPr="00CC1BDB" w:rsidRDefault="00812FF6" w:rsidP="00812FF6">
      <w:pPr>
        <w:rPr>
          <w:i/>
        </w:rPr>
      </w:pPr>
      <w:r>
        <w:rPr>
          <w:b/>
        </w:rPr>
        <w:t>Risico</w:t>
      </w:r>
      <w:r>
        <w:rPr>
          <w:b/>
        </w:rPr>
        <w:tab/>
      </w:r>
      <w:r>
        <w:rPr>
          <w:b/>
        </w:rPr>
        <w:tab/>
      </w:r>
      <w:r>
        <w:rPr>
          <w:b/>
        </w:rPr>
        <w:tab/>
      </w:r>
      <w:r>
        <w:t>Effect van onzekerheid op doelstellingen.</w:t>
      </w:r>
      <w:r>
        <w:br/>
      </w:r>
      <w:r>
        <w:tab/>
      </w:r>
      <w:r>
        <w:tab/>
      </w:r>
      <w:r>
        <w:tab/>
      </w:r>
      <w:r>
        <w:rPr>
          <w:i/>
        </w:rPr>
        <w:t>ISO 27000:201</w:t>
      </w:r>
      <w:r w:rsidR="00C8724A">
        <w:rPr>
          <w:i/>
        </w:rPr>
        <w:t>3</w:t>
      </w:r>
      <w:r>
        <w:rPr>
          <w:i/>
        </w:rPr>
        <w:t xml:space="preserve"> (risk)</w:t>
      </w:r>
    </w:p>
    <w:p w:rsidR="00812FF6" w:rsidRPr="00CC1BDB" w:rsidRDefault="00812FF6" w:rsidP="00812FF6">
      <w:pPr>
        <w:rPr>
          <w:i/>
        </w:rPr>
      </w:pPr>
      <w:r>
        <w:rPr>
          <w:b/>
        </w:rPr>
        <w:t>Risicoanalyse</w:t>
      </w:r>
      <w:r>
        <w:rPr>
          <w:b/>
        </w:rPr>
        <w:tab/>
      </w:r>
      <w:r>
        <w:rPr>
          <w:b/>
        </w:rPr>
        <w:tab/>
      </w:r>
      <w:r>
        <w:t>Proces om de aard van risico te begrijpen en het risiconiveau te bepalen</w:t>
      </w:r>
      <w:r>
        <w:br/>
      </w:r>
      <w:r>
        <w:tab/>
      </w:r>
      <w:r>
        <w:tab/>
      </w:r>
      <w:r>
        <w:tab/>
      </w:r>
      <w:r w:rsidR="00C8724A">
        <w:rPr>
          <w:i/>
        </w:rPr>
        <w:t>ISO 27000:2013</w:t>
      </w:r>
      <w:r>
        <w:rPr>
          <w:i/>
        </w:rPr>
        <w:t xml:space="preserve"> (risk analysis)</w:t>
      </w:r>
    </w:p>
    <w:p w:rsidR="00812FF6" w:rsidRDefault="00812FF6" w:rsidP="00812FF6">
      <w:r>
        <w:rPr>
          <w:b/>
        </w:rPr>
        <w:t>ROSA</w:t>
      </w:r>
      <w:r>
        <w:rPr>
          <w:b/>
        </w:rPr>
        <w:tab/>
      </w:r>
      <w:r>
        <w:rPr>
          <w:b/>
        </w:rPr>
        <w:tab/>
      </w:r>
      <w:r>
        <w:rPr>
          <w:b/>
        </w:rPr>
        <w:tab/>
      </w:r>
      <w:r>
        <w:t>Referentiearchitectuur van het onderwijs</w:t>
      </w:r>
    </w:p>
    <w:p w:rsidR="00812FF6" w:rsidRPr="00DB6B99" w:rsidRDefault="00812FF6" w:rsidP="00812FF6">
      <w:pPr>
        <w:rPr>
          <w:i/>
        </w:rPr>
      </w:pPr>
      <w:r>
        <w:rPr>
          <w:b/>
        </w:rPr>
        <w:t>Toetsingskader</w:t>
      </w:r>
      <w:r>
        <w:rPr>
          <w:b/>
        </w:rPr>
        <w:tab/>
      </w:r>
      <w:r>
        <w:rPr>
          <w:b/>
        </w:rPr>
        <w:tab/>
      </w:r>
      <w:r>
        <w:t xml:space="preserve">Verzameling beleid, procedures en/of eisen gebruikt als referentie waartegen </w:t>
      </w:r>
      <w:r>
        <w:tab/>
      </w:r>
      <w:r>
        <w:tab/>
      </w:r>
      <w:r>
        <w:tab/>
        <w:t>bewijs uit een audit wordt vergeleken.</w:t>
      </w:r>
      <w:r>
        <w:br/>
      </w:r>
      <w:r>
        <w:tab/>
      </w:r>
      <w:r>
        <w:tab/>
      </w:r>
      <w:r>
        <w:tab/>
      </w:r>
      <w:r>
        <w:rPr>
          <w:i/>
        </w:rPr>
        <w:t>ISO 19011:2011 (audit criteria)</w:t>
      </w:r>
    </w:p>
    <w:p w:rsidR="009879C5" w:rsidRPr="008E6B87" w:rsidRDefault="009879C5" w:rsidP="009879C5">
      <w:pPr>
        <w:rPr>
          <w:b/>
          <w:i/>
        </w:rPr>
      </w:pPr>
      <w:r>
        <w:rPr>
          <w:b/>
        </w:rPr>
        <w:t>Verantwoordelijke</w:t>
      </w:r>
      <w:r>
        <w:rPr>
          <w:b/>
        </w:rPr>
        <w:tab/>
      </w:r>
      <w:r>
        <w:t>Partij die het doel en de middelen voor de verwerking van gegevens vaststelt.</w:t>
      </w:r>
      <w:r>
        <w:br/>
      </w:r>
      <w:r>
        <w:rPr>
          <w:i/>
        </w:rPr>
        <w:tab/>
      </w:r>
      <w:r>
        <w:rPr>
          <w:i/>
        </w:rPr>
        <w:tab/>
      </w:r>
      <w:r>
        <w:rPr>
          <w:i/>
        </w:rPr>
        <w:tab/>
      </w:r>
      <w:proofErr w:type="spellStart"/>
      <w:r>
        <w:rPr>
          <w:i/>
        </w:rPr>
        <w:t>Wbp</w:t>
      </w:r>
      <w:proofErr w:type="spellEnd"/>
      <w:r>
        <w:rPr>
          <w:i/>
        </w:rPr>
        <w:t xml:space="preserve"> (NB. </w:t>
      </w:r>
      <w:proofErr w:type="spellStart"/>
      <w:r>
        <w:rPr>
          <w:i/>
        </w:rPr>
        <w:t>Wbp</w:t>
      </w:r>
      <w:proofErr w:type="spellEnd"/>
      <w:r>
        <w:rPr>
          <w:i/>
        </w:rPr>
        <w:t xml:space="preserve"> beperkt definitie tot verwerking van </w:t>
      </w:r>
      <w:r>
        <w:rPr>
          <w:i/>
          <w:u w:val="single"/>
        </w:rPr>
        <w:t>persoons</w:t>
      </w:r>
      <w:r>
        <w:rPr>
          <w:i/>
        </w:rPr>
        <w:t>gegevens)</w:t>
      </w:r>
      <w:r>
        <w:rPr>
          <w:i/>
        </w:rPr>
        <w:br/>
      </w:r>
      <w:r>
        <w:rPr>
          <w:i/>
        </w:rPr>
        <w:tab/>
      </w:r>
      <w:r>
        <w:rPr>
          <w:i/>
        </w:rPr>
        <w:tab/>
      </w:r>
      <w:r>
        <w:rPr>
          <w:i/>
        </w:rPr>
        <w:tab/>
        <w:t xml:space="preserve">zie ook: </w:t>
      </w:r>
      <w:r>
        <w:rPr>
          <w:b/>
          <w:i/>
        </w:rPr>
        <w:t>Bewerker</w:t>
      </w:r>
    </w:p>
    <w:p w:rsidR="00812FF6" w:rsidRPr="00C47A4A" w:rsidRDefault="00812FF6" w:rsidP="00812FF6">
      <w:pPr>
        <w:rPr>
          <w:b/>
          <w:i/>
        </w:rPr>
      </w:pPr>
      <w:r>
        <w:rPr>
          <w:b/>
        </w:rPr>
        <w:t>Vertrouwelijkheid</w:t>
      </w:r>
      <w:r>
        <w:rPr>
          <w:b/>
        </w:rPr>
        <w:tab/>
      </w:r>
      <w:r w:rsidRPr="00C47A4A">
        <w:t>De eigenschap</w:t>
      </w:r>
      <w:r>
        <w:t xml:space="preserve"> dat informatie niet beschikbaar wordt gesteld of ter kennis </w:t>
      </w:r>
      <w:r>
        <w:tab/>
      </w:r>
      <w:r>
        <w:tab/>
      </w:r>
      <w:r>
        <w:tab/>
        <w:t>komt van onbevoegde personen, entiteiten of processen</w:t>
      </w:r>
      <w:r>
        <w:br/>
      </w:r>
      <w:r>
        <w:tab/>
      </w:r>
      <w:r>
        <w:tab/>
      </w:r>
      <w:r>
        <w:tab/>
      </w:r>
      <w:r w:rsidR="00C8724A">
        <w:rPr>
          <w:i/>
        </w:rPr>
        <w:t>ISO 27000:2013</w:t>
      </w:r>
      <w:r>
        <w:rPr>
          <w:i/>
        </w:rPr>
        <w:t xml:space="preserve"> (</w:t>
      </w:r>
      <w:proofErr w:type="spellStart"/>
      <w:r>
        <w:rPr>
          <w:i/>
        </w:rPr>
        <w:t>confidentiality</w:t>
      </w:r>
      <w:proofErr w:type="spellEnd"/>
      <w:r>
        <w:rPr>
          <w:i/>
        </w:rPr>
        <w:t>)</w:t>
      </w:r>
    </w:p>
    <w:p w:rsidR="00812FF6" w:rsidRPr="00D80BA6" w:rsidRDefault="00812FF6" w:rsidP="00812FF6">
      <w:pPr>
        <w:spacing w:after="0" w:line="260" w:lineRule="atLeast"/>
        <w:ind w:left="2124"/>
      </w:pPr>
      <w:r w:rsidRPr="00C47A4A">
        <w:t>Vertrouwelijkheid betreft het waarborgen dat informatie alleen toegankelijk is voor degenen die hiertoe zijn geautoriseerd. Met 'toegang hebben tot' wordt zowel het raadplegen als het muteren, toevoegen en/of vernietigen van informatie bedoeld.</w:t>
      </w:r>
    </w:p>
    <w:p w:rsidR="00812FF6" w:rsidRDefault="00812FF6">
      <w:pPr>
        <w:rPr>
          <w:rFonts w:asciiTheme="majorHAnsi" w:eastAsiaTheme="majorEastAsia" w:hAnsiTheme="majorHAnsi" w:cstheme="majorBidi"/>
          <w:b/>
          <w:bCs/>
          <w:color w:val="365F91" w:themeColor="accent1" w:themeShade="BF"/>
          <w:sz w:val="28"/>
          <w:szCs w:val="28"/>
        </w:rPr>
      </w:pPr>
      <w:r>
        <w:br w:type="page"/>
      </w:r>
    </w:p>
    <w:p w:rsidR="004560CA" w:rsidRPr="00196BB8" w:rsidRDefault="004560CA" w:rsidP="004560CA">
      <w:pPr>
        <w:pStyle w:val="Kop1"/>
      </w:pPr>
      <w:bookmarkStart w:id="50" w:name="_Toc410767902"/>
      <w:bookmarkStart w:id="51" w:name="_Toc410923393"/>
      <w:bookmarkStart w:id="52" w:name="_Toc412100412"/>
      <w:r>
        <w:lastRenderedPageBreak/>
        <w:t xml:space="preserve">Bijlage: </w:t>
      </w:r>
      <w:r w:rsidR="00740142">
        <w:t>Normenkaders</w:t>
      </w:r>
      <w:bookmarkEnd w:id="50"/>
      <w:bookmarkEnd w:id="51"/>
      <w:bookmarkEnd w:id="52"/>
    </w:p>
    <w:p w:rsidR="004560CA" w:rsidRDefault="004560CA" w:rsidP="004560CA">
      <w:pPr>
        <w:pStyle w:val="Kop3"/>
        <w:spacing w:before="0" w:line="260" w:lineRule="atLeast"/>
      </w:pPr>
    </w:p>
    <w:p w:rsidR="004560CA" w:rsidRPr="004560CA" w:rsidRDefault="004560CA" w:rsidP="004560CA"/>
    <w:p w:rsidR="004560CA" w:rsidRDefault="004560CA" w:rsidP="004560CA">
      <w:pPr>
        <w:pStyle w:val="Kop3"/>
        <w:spacing w:before="0" w:line="260" w:lineRule="atLeast"/>
      </w:pPr>
      <w:bookmarkStart w:id="53" w:name="_Toc404246376"/>
      <w:r>
        <w:t>ISO 27002</w:t>
      </w:r>
      <w:bookmarkEnd w:id="53"/>
    </w:p>
    <w:p w:rsidR="004560CA" w:rsidRPr="00585276" w:rsidRDefault="004560CA" w:rsidP="004560CA">
      <w:pPr>
        <w:rPr>
          <w:i/>
        </w:rPr>
      </w:pPr>
      <w:r w:rsidRPr="00585276">
        <w:rPr>
          <w:i/>
        </w:rPr>
        <w:t>Werkingsgebied: gehele onderwijsdomein</w:t>
      </w:r>
      <w:r w:rsidRPr="00585276">
        <w:rPr>
          <w:i/>
        </w:rPr>
        <w:br/>
        <w:t>Toepassingsgebied: (interne) organisatie</w:t>
      </w:r>
    </w:p>
    <w:p w:rsidR="004560CA" w:rsidRPr="005C4D1E" w:rsidRDefault="004560CA" w:rsidP="004560CA">
      <w:pPr>
        <w:spacing w:after="0" w:line="260" w:lineRule="atLeast"/>
      </w:pPr>
      <w:r>
        <w:t xml:space="preserve">ISO 27002 omvat beheersmaatregelen voor het implementeren van een managementsysteem voor informatiebeveiliging conform ISO27001. Deze maatregelen dienen ook als leidraad voor organisaties die algemeen aanvaarde beheersmaatregelen op het gebied van informatiebeveiliging willen invoeren. Het College voor Standaardisatie </w:t>
      </w:r>
      <w:r w:rsidR="00E138F0">
        <w:t>heeft</w:t>
      </w:r>
      <w:r>
        <w:t xml:space="preserve"> ISO27001 en 27002 op de lijst met 'pas toe of leg uit'-standaarden geplaatst. Overheden en </w:t>
      </w:r>
      <w:proofErr w:type="spellStart"/>
      <w:r>
        <w:t>semi-overheden</w:t>
      </w:r>
      <w:proofErr w:type="spellEnd"/>
      <w:r>
        <w:t xml:space="preserve"> zijn daarom verplicht om deze standaard toe te passen.</w:t>
      </w:r>
    </w:p>
    <w:p w:rsidR="004560CA" w:rsidRDefault="004560CA" w:rsidP="004560CA">
      <w:pPr>
        <w:pStyle w:val="Kop3"/>
        <w:spacing w:before="0" w:line="260" w:lineRule="atLeast"/>
      </w:pPr>
    </w:p>
    <w:p w:rsidR="004560CA" w:rsidRDefault="004560CA" w:rsidP="004560CA">
      <w:pPr>
        <w:pStyle w:val="Kop3"/>
        <w:spacing w:before="0" w:line="260" w:lineRule="atLeast"/>
      </w:pPr>
      <w:bookmarkStart w:id="54" w:name="_Toc404246377"/>
      <w:r>
        <w:t>NORA-katern beveiliging</w:t>
      </w:r>
      <w:bookmarkEnd w:id="54"/>
    </w:p>
    <w:p w:rsidR="004560CA" w:rsidRPr="00585276" w:rsidRDefault="004560CA" w:rsidP="004560CA">
      <w:pPr>
        <w:rPr>
          <w:i/>
        </w:rPr>
      </w:pPr>
      <w:r w:rsidRPr="00585276">
        <w:rPr>
          <w:i/>
        </w:rPr>
        <w:t xml:space="preserve">Werkingsgebied: </w:t>
      </w:r>
      <w:r>
        <w:rPr>
          <w:i/>
        </w:rPr>
        <w:t>(semi-)</w:t>
      </w:r>
      <w:r w:rsidRPr="00585276">
        <w:rPr>
          <w:i/>
        </w:rPr>
        <w:t>overheid</w:t>
      </w:r>
      <w:r w:rsidRPr="00585276">
        <w:rPr>
          <w:i/>
        </w:rPr>
        <w:br/>
      </w:r>
      <w:r>
        <w:rPr>
          <w:i/>
        </w:rPr>
        <w:t>Toepassingsgebied: massale verwerking van persoons- en financiële gegevens</w:t>
      </w:r>
    </w:p>
    <w:p w:rsidR="004560CA" w:rsidRPr="00B6009B" w:rsidRDefault="004560CA" w:rsidP="004560CA">
      <w:pPr>
        <w:spacing w:after="0" w:line="260" w:lineRule="atLeast"/>
      </w:pPr>
      <w:r>
        <w:t xml:space="preserve">NORA staat </w:t>
      </w:r>
      <w:r w:rsidR="00BF66E3">
        <w:t>v</w:t>
      </w:r>
      <w:r>
        <w:t>oor Nederlandse Overheid Referentie Architectuur. Het NORA-katern Beveiliging omvat beheersmaatregelen en implementatierichtlijnen (samengenomen onder de noemer 'eisen') voor de beveiliging van massale verwerking van persoons- en financiële gegevens, uitgaande van het basisniveau informatiebeveiliging voor de e-overheid. Het NORA-katern is afgeleid van de werkgebieden informatiebeveiliging en bedrijfscontinuïteit uit ISO 27002. De aspecten fysieke beveiliging en personele integriteit blijven in dit katern buiten beschouwing.</w:t>
      </w:r>
    </w:p>
    <w:p w:rsidR="004560CA" w:rsidRDefault="004560CA" w:rsidP="004560CA">
      <w:pPr>
        <w:pStyle w:val="Kop3"/>
        <w:spacing w:before="0" w:line="260" w:lineRule="atLeast"/>
      </w:pPr>
    </w:p>
    <w:p w:rsidR="004560CA" w:rsidRDefault="004560CA" w:rsidP="004560CA">
      <w:pPr>
        <w:pStyle w:val="Kop3"/>
        <w:spacing w:before="0" w:line="260" w:lineRule="atLeast"/>
      </w:pPr>
      <w:bookmarkStart w:id="55" w:name="_Toc404246378"/>
      <w:r>
        <w:t>B</w:t>
      </w:r>
      <w:r w:rsidR="00AD61CF">
        <w:t xml:space="preserve">aseline </w:t>
      </w:r>
      <w:r>
        <w:t>I</w:t>
      </w:r>
      <w:r w:rsidR="00AD61CF">
        <w:t xml:space="preserve">nformatiebeveiliging </w:t>
      </w:r>
      <w:r>
        <w:t>R</w:t>
      </w:r>
      <w:bookmarkEnd w:id="55"/>
      <w:r w:rsidR="00AD61CF">
        <w:t>ijksdienst</w:t>
      </w:r>
    </w:p>
    <w:p w:rsidR="004560CA" w:rsidRPr="00585276" w:rsidRDefault="004560CA" w:rsidP="004560CA">
      <w:pPr>
        <w:rPr>
          <w:i/>
        </w:rPr>
      </w:pPr>
      <w:r>
        <w:rPr>
          <w:i/>
        </w:rPr>
        <w:t>Werkingsgebied: rijksoverheid</w:t>
      </w:r>
      <w:r>
        <w:rPr>
          <w:i/>
        </w:rPr>
        <w:br/>
        <w:t>Toepassingsgebied: (interne) organisatie</w:t>
      </w:r>
    </w:p>
    <w:p w:rsidR="004560CA" w:rsidRDefault="004560CA" w:rsidP="004560CA">
      <w:pPr>
        <w:spacing w:after="0" w:line="260" w:lineRule="atLeast"/>
      </w:pPr>
      <w:r>
        <w:t xml:space="preserve">De BIR (Baseline Informatiebeveiliging Rijksdienst) beschrijft de invulling van ISO27001 en 27002 voor de Rijksoverheid. Het bestaat uit een - binnen de Rijksoverheid verplicht toe te passen - tactisch normenkader (een </w:t>
      </w:r>
      <w:proofErr w:type="spellStart"/>
      <w:r>
        <w:t>superset</w:t>
      </w:r>
      <w:proofErr w:type="spellEnd"/>
      <w:r>
        <w:t xml:space="preserve"> van ISO 27002/maatregelen) en een niet-verplichte operationele baseline die bestaat uit best </w:t>
      </w:r>
      <w:proofErr w:type="spellStart"/>
      <w:r>
        <w:t>practices</w:t>
      </w:r>
      <w:proofErr w:type="spellEnd"/>
      <w:r>
        <w:t>.</w:t>
      </w:r>
      <w:bookmarkStart w:id="56" w:name="_Toc404246379"/>
    </w:p>
    <w:p w:rsidR="00AD61CF" w:rsidRDefault="00AD61CF" w:rsidP="004560CA">
      <w:pPr>
        <w:spacing w:after="0" w:line="260" w:lineRule="atLeast"/>
      </w:pPr>
    </w:p>
    <w:p w:rsidR="00AD61CF" w:rsidRDefault="00AD61CF" w:rsidP="004560CA">
      <w:pPr>
        <w:spacing w:after="0" w:line="260" w:lineRule="atLeast"/>
      </w:pPr>
      <w:r>
        <w:t>Gemeenten en waterschappen hebben een afgeleide variant van de BIR opgesteld: de BIG voor gemeenten</w:t>
      </w:r>
      <w:r w:rsidR="005374A7">
        <w:t xml:space="preserve"> en de BIW voor Waterschappen.</w:t>
      </w:r>
    </w:p>
    <w:p w:rsidR="004560CA" w:rsidRDefault="004560CA" w:rsidP="004560CA">
      <w:pPr>
        <w:pStyle w:val="Kop3"/>
        <w:spacing w:before="0" w:line="260" w:lineRule="atLeast"/>
      </w:pPr>
      <w:bookmarkStart w:id="57" w:name="_Toc397967835"/>
      <w:bookmarkEnd w:id="56"/>
    </w:p>
    <w:p w:rsidR="004560CA" w:rsidRPr="00C8724A" w:rsidRDefault="004560CA" w:rsidP="004560CA">
      <w:pPr>
        <w:pStyle w:val="Kop3"/>
        <w:spacing w:before="0" w:line="260" w:lineRule="atLeast"/>
        <w:rPr>
          <w:lang w:val="en-US"/>
        </w:rPr>
      </w:pPr>
      <w:bookmarkStart w:id="58" w:name="_Toc404246381"/>
      <w:r w:rsidRPr="00C8724A">
        <w:rPr>
          <w:lang w:val="en-US"/>
        </w:rPr>
        <w:t>C</w:t>
      </w:r>
      <w:r w:rsidR="00AD61CF" w:rsidRPr="00C8724A">
        <w:rPr>
          <w:lang w:val="en-US"/>
        </w:rPr>
        <w:t xml:space="preserve">loud </w:t>
      </w:r>
      <w:r w:rsidRPr="00C8724A">
        <w:rPr>
          <w:lang w:val="en-US"/>
        </w:rPr>
        <w:t>S</w:t>
      </w:r>
      <w:r w:rsidR="00AD61CF" w:rsidRPr="00C8724A">
        <w:rPr>
          <w:lang w:val="en-US"/>
        </w:rPr>
        <w:t xml:space="preserve">ecurity </w:t>
      </w:r>
      <w:r w:rsidRPr="00C8724A">
        <w:rPr>
          <w:lang w:val="en-US"/>
        </w:rPr>
        <w:t>A</w:t>
      </w:r>
      <w:r w:rsidR="00AD61CF" w:rsidRPr="00C8724A">
        <w:rPr>
          <w:lang w:val="en-US"/>
        </w:rPr>
        <w:t>lliance</w:t>
      </w:r>
      <w:r w:rsidRPr="00C8724A">
        <w:rPr>
          <w:lang w:val="en-US"/>
        </w:rPr>
        <w:t xml:space="preserve"> Cloud Controls Matrix</w:t>
      </w:r>
      <w:bookmarkEnd w:id="57"/>
      <w:bookmarkEnd w:id="58"/>
    </w:p>
    <w:p w:rsidR="004560CA" w:rsidRPr="00585276" w:rsidRDefault="004560CA" w:rsidP="004560CA">
      <w:pPr>
        <w:rPr>
          <w:i/>
        </w:rPr>
      </w:pPr>
      <w:r>
        <w:rPr>
          <w:i/>
        </w:rPr>
        <w:t>Werkingsgebied: gehele onderwijsdomein</w:t>
      </w:r>
      <w:r>
        <w:rPr>
          <w:i/>
        </w:rPr>
        <w:br/>
      </w:r>
      <w:proofErr w:type="spellStart"/>
      <w:r>
        <w:rPr>
          <w:i/>
        </w:rPr>
        <w:t>Toepassingsgebied:aanbieden</w:t>
      </w:r>
      <w:proofErr w:type="spellEnd"/>
      <w:r>
        <w:rPr>
          <w:i/>
        </w:rPr>
        <w:t xml:space="preserve"> en afnemen van </w:t>
      </w:r>
      <w:proofErr w:type="spellStart"/>
      <w:r>
        <w:rPr>
          <w:i/>
        </w:rPr>
        <w:t>clouddiensten</w:t>
      </w:r>
      <w:proofErr w:type="spellEnd"/>
    </w:p>
    <w:p w:rsidR="004560CA" w:rsidRDefault="004560CA" w:rsidP="004560CA">
      <w:pPr>
        <w:spacing w:after="0" w:line="260" w:lineRule="atLeast"/>
      </w:pPr>
      <w:r w:rsidRPr="00FC50AD">
        <w:t xml:space="preserve">De Cloud Controls Matrix (CCM) van de Cloud Security Alliance (CSA) legt een relatie tussen de negen grootste risico's van </w:t>
      </w:r>
      <w:proofErr w:type="spellStart"/>
      <w:r w:rsidRPr="00FC50AD">
        <w:t>cloud</w:t>
      </w:r>
      <w:proofErr w:type="spellEnd"/>
      <w:r w:rsidRPr="00FC50AD">
        <w:t xml:space="preserve"> computing en de maatregelen ('</w:t>
      </w:r>
      <w:proofErr w:type="spellStart"/>
      <w:r w:rsidRPr="00FC50AD">
        <w:t>controls</w:t>
      </w:r>
      <w:proofErr w:type="spellEnd"/>
      <w:r w:rsidRPr="00FC50AD">
        <w:t xml:space="preserve">') die een effectieve bescherming vormen tegen deze risico's. De CCM richt zich enerzijds op het bieden van beveiligingsrichtlijnen aan </w:t>
      </w:r>
      <w:proofErr w:type="spellStart"/>
      <w:r w:rsidRPr="00FC50AD">
        <w:t>cloudleveranciers</w:t>
      </w:r>
      <w:proofErr w:type="spellEnd"/>
      <w:r w:rsidRPr="00FC50AD">
        <w:t xml:space="preserve">, en anderzijds op het ondersteunen van </w:t>
      </w:r>
      <w:proofErr w:type="spellStart"/>
      <w:r w:rsidRPr="00FC50AD">
        <w:t>cloudafnemers</w:t>
      </w:r>
      <w:proofErr w:type="spellEnd"/>
      <w:r w:rsidRPr="00FC50AD">
        <w:t xml:space="preserve"> bij het beoordelen van de veiligheidsrisico's van een </w:t>
      </w:r>
      <w:proofErr w:type="spellStart"/>
      <w:r w:rsidRPr="00FC50AD">
        <w:t>cloudleverancier</w:t>
      </w:r>
      <w:proofErr w:type="spellEnd"/>
      <w:r w:rsidRPr="00FC50AD">
        <w:t>.</w:t>
      </w:r>
      <w:bookmarkStart w:id="59" w:name="_Toc397967836"/>
    </w:p>
    <w:p w:rsidR="004560CA" w:rsidRDefault="004560CA" w:rsidP="004560CA">
      <w:pPr>
        <w:pStyle w:val="Kop3"/>
      </w:pPr>
      <w:r>
        <w:t>CBP Compliance-instrumenten</w:t>
      </w:r>
    </w:p>
    <w:p w:rsidR="004560CA" w:rsidRPr="00585276" w:rsidRDefault="004560CA" w:rsidP="004560CA">
      <w:pPr>
        <w:rPr>
          <w:i/>
        </w:rPr>
      </w:pPr>
      <w:r>
        <w:rPr>
          <w:i/>
        </w:rPr>
        <w:t>Werkingsgebied: gehele onderwijsdomein</w:t>
      </w:r>
      <w:r>
        <w:rPr>
          <w:i/>
        </w:rPr>
        <w:br/>
        <w:t>Toepassingsgebied: (interne) organisatie</w:t>
      </w:r>
    </w:p>
    <w:p w:rsidR="004560CA" w:rsidRDefault="004560CA" w:rsidP="004560CA">
      <w:r>
        <w:lastRenderedPageBreak/>
        <w:t>Het CBP heeft een viertal compliance-instrumenten ontwikkeld die gebruikt kunnen worden als handreiking voor het naleven van de geldende wet- en regelgeving:</w:t>
      </w:r>
    </w:p>
    <w:p w:rsidR="004560CA" w:rsidRDefault="004560CA" w:rsidP="004560CA">
      <w:pPr>
        <w:pStyle w:val="Lijstalinea"/>
        <w:numPr>
          <w:ilvl w:val="0"/>
          <w:numId w:val="25"/>
        </w:numPr>
      </w:pPr>
      <w:proofErr w:type="spellStart"/>
      <w:r>
        <w:t>Quickscan</w:t>
      </w:r>
      <w:proofErr w:type="spellEnd"/>
    </w:p>
    <w:p w:rsidR="004560CA" w:rsidRDefault="004560CA" w:rsidP="004560CA">
      <w:pPr>
        <w:pStyle w:val="Lijstalinea"/>
        <w:numPr>
          <w:ilvl w:val="0"/>
          <w:numId w:val="25"/>
        </w:numPr>
      </w:pPr>
      <w:proofErr w:type="spellStart"/>
      <w:r>
        <w:t>Wbp</w:t>
      </w:r>
      <w:proofErr w:type="spellEnd"/>
      <w:r>
        <w:t xml:space="preserve"> Zelfevaluatie</w:t>
      </w:r>
    </w:p>
    <w:p w:rsidR="004560CA" w:rsidRDefault="004560CA" w:rsidP="004560CA">
      <w:pPr>
        <w:pStyle w:val="Lijstalinea"/>
        <w:numPr>
          <w:ilvl w:val="0"/>
          <w:numId w:val="25"/>
        </w:numPr>
      </w:pPr>
      <w:r>
        <w:t>Raamwerk Privacy Audit</w:t>
      </w:r>
    </w:p>
    <w:p w:rsidR="004560CA" w:rsidRDefault="004560CA" w:rsidP="004560CA">
      <w:pPr>
        <w:pStyle w:val="Lijstalinea"/>
        <w:numPr>
          <w:ilvl w:val="0"/>
          <w:numId w:val="25"/>
        </w:numPr>
      </w:pPr>
      <w:r>
        <w:t>Handreiking bij het Raamwerk Privacy Audit</w:t>
      </w:r>
    </w:p>
    <w:p w:rsidR="004560CA" w:rsidRDefault="004560CA" w:rsidP="004560CA">
      <w:pPr>
        <w:pStyle w:val="Kop3"/>
      </w:pPr>
      <w:r>
        <w:t>NCSC Beveiligingsrichtlijnen</w:t>
      </w:r>
    </w:p>
    <w:p w:rsidR="004560CA" w:rsidRPr="00585276" w:rsidRDefault="004560CA" w:rsidP="004560CA">
      <w:pPr>
        <w:rPr>
          <w:i/>
        </w:rPr>
      </w:pPr>
      <w:r>
        <w:rPr>
          <w:i/>
        </w:rPr>
        <w:t>Werkingsgebied: gehele onderwijsdomein</w:t>
      </w:r>
      <w:r>
        <w:rPr>
          <w:i/>
        </w:rPr>
        <w:br/>
        <w:t>Toepassingsgebied: technologie</w:t>
      </w:r>
    </w:p>
    <w:p w:rsidR="004560CA" w:rsidRDefault="004560CA" w:rsidP="004560CA">
      <w:r>
        <w:t xml:space="preserve">Het Nationaal Cyber Security Center publiceert beveiligingsrichtlijnen naar aanleiding van trends en (actuele) dreigingen en op basis van best </w:t>
      </w:r>
      <w:proofErr w:type="spellStart"/>
      <w:r>
        <w:t>practices</w:t>
      </w:r>
      <w:proofErr w:type="spellEnd"/>
      <w:r>
        <w:t xml:space="preserve"> :</w:t>
      </w:r>
    </w:p>
    <w:p w:rsidR="004560CA" w:rsidRDefault="004560CA" w:rsidP="004560CA">
      <w:pPr>
        <w:pStyle w:val="Lijstalinea"/>
        <w:numPr>
          <w:ilvl w:val="0"/>
          <w:numId w:val="26"/>
        </w:numPr>
      </w:pPr>
      <w:r>
        <w:t xml:space="preserve">ICT-beveiligingsrichtlijnen voor </w:t>
      </w:r>
      <w:proofErr w:type="spellStart"/>
      <w:r>
        <w:t>webapplicaties</w:t>
      </w:r>
      <w:proofErr w:type="spellEnd"/>
      <w:r>
        <w:t xml:space="preserve"> (feb. 2012)</w:t>
      </w:r>
    </w:p>
    <w:p w:rsidR="004560CA" w:rsidRDefault="004560CA" w:rsidP="004560CA">
      <w:pPr>
        <w:pStyle w:val="Lijstalinea"/>
        <w:numPr>
          <w:ilvl w:val="0"/>
          <w:numId w:val="26"/>
        </w:numPr>
      </w:pPr>
      <w:r>
        <w:t>Beveiligingsrichtlijnen voor mobiele apparaten (nov. 2012)</w:t>
      </w:r>
    </w:p>
    <w:p w:rsidR="004560CA" w:rsidRDefault="004560CA" w:rsidP="004560CA">
      <w:pPr>
        <w:pStyle w:val="Lijstalinea"/>
        <w:numPr>
          <w:ilvl w:val="0"/>
          <w:numId w:val="26"/>
        </w:numPr>
      </w:pPr>
      <w:r>
        <w:t xml:space="preserve">ICT-beveiligingsrichtlijnen voor Transport </w:t>
      </w:r>
      <w:proofErr w:type="spellStart"/>
      <w:r>
        <w:t>Layer</w:t>
      </w:r>
      <w:proofErr w:type="spellEnd"/>
      <w:r>
        <w:t xml:space="preserve"> Security (TLS) (nov. 2014)</w:t>
      </w:r>
    </w:p>
    <w:p w:rsidR="004560CA" w:rsidRDefault="004560CA" w:rsidP="004560CA">
      <w:pPr>
        <w:pStyle w:val="Kop3"/>
      </w:pPr>
      <w:r>
        <w:t>Kennisnet Checklist privacy-afspraken voor scholen</w:t>
      </w:r>
    </w:p>
    <w:p w:rsidR="004560CA" w:rsidRDefault="004560CA" w:rsidP="004560CA">
      <w:pPr>
        <w:rPr>
          <w:i/>
        </w:rPr>
      </w:pPr>
      <w:r>
        <w:rPr>
          <w:i/>
        </w:rPr>
        <w:t>Werkingsgebied: onderwijsinstellingen</w:t>
      </w:r>
      <w:r>
        <w:rPr>
          <w:i/>
        </w:rPr>
        <w:br/>
        <w:t xml:space="preserve">Toepassingsgebied: afnemen van </w:t>
      </w:r>
      <w:proofErr w:type="spellStart"/>
      <w:r>
        <w:rPr>
          <w:i/>
        </w:rPr>
        <w:t>clouddiensten</w:t>
      </w:r>
      <w:proofErr w:type="spellEnd"/>
    </w:p>
    <w:p w:rsidR="004560CA" w:rsidRDefault="004560CA" w:rsidP="004560CA">
      <w:r>
        <w:t>Met deze checklist kan worden vastgesteld of de afspraken tussen scholen en softwareleveranciers voldoen aan de wettelijke eisen.</w:t>
      </w:r>
    </w:p>
    <w:p w:rsidR="004560CA" w:rsidRDefault="004560CA" w:rsidP="004560CA">
      <w:pPr>
        <w:pStyle w:val="Kop3"/>
      </w:pPr>
      <w:r>
        <w:t>Afsprakenstelsel IAA (SION)</w:t>
      </w:r>
    </w:p>
    <w:p w:rsidR="004560CA" w:rsidRDefault="004560CA" w:rsidP="004560CA">
      <w:pPr>
        <w:rPr>
          <w:i/>
        </w:rPr>
      </w:pPr>
      <w:r>
        <w:rPr>
          <w:i/>
        </w:rPr>
        <w:t>Werkingsgebied: gehele onderwijsdomein</w:t>
      </w:r>
      <w:r>
        <w:rPr>
          <w:i/>
        </w:rPr>
        <w:br/>
        <w:t>Toepassingsgebied: persoonsidentiteit</w:t>
      </w:r>
    </w:p>
    <w:p w:rsidR="004560CA" w:rsidRDefault="004560CA" w:rsidP="004560CA">
      <w:r>
        <w:t xml:space="preserve">Het afsprakenstelsel leidt tot een </w:t>
      </w:r>
      <w:r>
        <w:rPr>
          <w:i/>
        </w:rPr>
        <w:t>nummervoorziening</w:t>
      </w:r>
      <w:r>
        <w:t xml:space="preserve"> die gebruikt wordt om pseudo-identiteiten te genereren. Het gebruik van </w:t>
      </w:r>
      <w:proofErr w:type="spellStart"/>
      <w:r>
        <w:t>pseuso</w:t>
      </w:r>
      <w:proofErr w:type="spellEnd"/>
      <w:r>
        <w:t>-identiteiten c.q. pseudoniemen is een maatregel die voor het hele onderwijsdomein geldt.</w:t>
      </w:r>
    </w:p>
    <w:p w:rsidR="004560CA" w:rsidRDefault="004560CA" w:rsidP="004560CA">
      <w:pPr>
        <w:pStyle w:val="Kop3"/>
      </w:pPr>
      <w:r>
        <w:t>Privacyreglement gebruik van persoonsgegevens van leerlingen binnen leermiddelen PO/VO (GEU)</w:t>
      </w:r>
    </w:p>
    <w:p w:rsidR="004560CA" w:rsidRDefault="004560CA" w:rsidP="004560CA">
      <w:pPr>
        <w:rPr>
          <w:i/>
        </w:rPr>
      </w:pPr>
      <w:r>
        <w:rPr>
          <w:i/>
        </w:rPr>
        <w:t>Werkingsgebied uitgeverijen PO/VO</w:t>
      </w:r>
      <w:r>
        <w:rPr>
          <w:i/>
        </w:rPr>
        <w:br/>
        <w:t>Toepassingsgebied: gebruik van persoonsgegevens leerlingen</w:t>
      </w:r>
    </w:p>
    <w:bookmarkEnd w:id="59"/>
    <w:p w:rsidR="004560CA" w:rsidRDefault="004560CA">
      <w:pPr>
        <w:rPr>
          <w:rFonts w:asciiTheme="majorHAnsi" w:eastAsiaTheme="majorEastAsia" w:hAnsiTheme="majorHAnsi" w:cstheme="majorBidi"/>
          <w:b/>
          <w:bCs/>
          <w:color w:val="365F91" w:themeColor="accent1" w:themeShade="BF"/>
          <w:sz w:val="28"/>
          <w:szCs w:val="28"/>
        </w:rPr>
      </w:pPr>
      <w:r>
        <w:br w:type="page"/>
      </w:r>
    </w:p>
    <w:p w:rsidR="002A6F2D" w:rsidRDefault="00812FF6" w:rsidP="00FC50AD">
      <w:pPr>
        <w:pStyle w:val="Kop1"/>
        <w:spacing w:before="0" w:line="260" w:lineRule="atLeast"/>
      </w:pPr>
      <w:bookmarkStart w:id="60" w:name="_Toc410767903"/>
      <w:bookmarkStart w:id="61" w:name="_Toc410923394"/>
      <w:bookmarkStart w:id="62" w:name="_Toc412100413"/>
      <w:r>
        <w:lastRenderedPageBreak/>
        <w:t>Bijlage:</w:t>
      </w:r>
      <w:r w:rsidR="002A6F2D">
        <w:t xml:space="preserve"> Methodiek</w:t>
      </w:r>
      <w:r>
        <w:t xml:space="preserve"> voor formuleren kaders</w:t>
      </w:r>
      <w:bookmarkEnd w:id="60"/>
      <w:bookmarkEnd w:id="61"/>
      <w:bookmarkEnd w:id="62"/>
    </w:p>
    <w:p w:rsidR="002A6F2D" w:rsidRDefault="002A6F2D" w:rsidP="00FC50AD">
      <w:pPr>
        <w:spacing w:after="0" w:line="260" w:lineRule="atLeast"/>
      </w:pPr>
    </w:p>
    <w:p w:rsidR="00891B4D" w:rsidRDefault="00891B4D" w:rsidP="00FC50AD">
      <w:pPr>
        <w:pStyle w:val="Kop2"/>
        <w:spacing w:before="0" w:line="260" w:lineRule="atLeast"/>
      </w:pPr>
      <w:bookmarkStart w:id="63" w:name="_Toc410657896"/>
      <w:bookmarkStart w:id="64" w:name="_Toc410767904"/>
      <w:bookmarkStart w:id="65" w:name="_Toc410923395"/>
      <w:bookmarkStart w:id="66" w:name="_Toc411290624"/>
      <w:bookmarkStart w:id="67" w:name="_Toc412100414"/>
      <w:r>
        <w:t>4.1 Aanpak</w:t>
      </w:r>
      <w:bookmarkEnd w:id="63"/>
      <w:bookmarkEnd w:id="64"/>
      <w:bookmarkEnd w:id="65"/>
      <w:bookmarkEnd w:id="66"/>
      <w:bookmarkEnd w:id="67"/>
      <w:r>
        <w:t xml:space="preserve"> </w:t>
      </w:r>
    </w:p>
    <w:p w:rsidR="006965E6" w:rsidRDefault="006965E6" w:rsidP="00FC50AD">
      <w:pPr>
        <w:spacing w:after="0" w:line="260" w:lineRule="atLeast"/>
      </w:pPr>
      <w:r>
        <w:t xml:space="preserve">De kaders uit Hoofdstuk </w:t>
      </w:r>
      <w:r w:rsidR="003B50E6">
        <w:t>2</w:t>
      </w:r>
      <w:r>
        <w:t xml:space="preserve"> </w:t>
      </w:r>
      <w:r w:rsidR="00CD7037">
        <w:t xml:space="preserve">vormen een Basisniveau Beveiliging, </w:t>
      </w:r>
      <w:r w:rsidR="00AF1FB2">
        <w:t>voor specifieke contexten aangevuld met additionele kaders</w:t>
      </w:r>
      <w:r w:rsidR="00CD7037">
        <w:t xml:space="preserve">. </w:t>
      </w:r>
      <w:r w:rsidR="00DC502C">
        <w:t xml:space="preserve">Op basis </w:t>
      </w:r>
      <w:r w:rsidR="007C5EFC">
        <w:t xml:space="preserve">van deze kaders </w:t>
      </w:r>
      <w:r w:rsidR="00DC502C">
        <w:t>kunnen beheersmaatregelen worden geselecteerd, bijvoorbeeld uit ISO 27002 of andere raamwerken zoals het NORA Katern Beveiliging</w:t>
      </w:r>
      <w:r w:rsidR="00DC502C">
        <w:rPr>
          <w:rStyle w:val="Voetnootmarkering"/>
        </w:rPr>
        <w:footnoteReference w:id="2"/>
      </w:r>
      <w:r w:rsidR="00DC502C">
        <w:t>.</w:t>
      </w:r>
      <w:r w:rsidR="004C2A12">
        <w:t xml:space="preserve"> Een voorbeeld van zo'n selectie </w:t>
      </w:r>
      <w:r w:rsidR="00215842">
        <w:t xml:space="preserve">staat </w:t>
      </w:r>
      <w:r w:rsidR="004C2A12">
        <w:t xml:space="preserve">in </w:t>
      </w:r>
      <w:r w:rsidR="00630472">
        <w:t xml:space="preserve">de </w:t>
      </w:r>
      <w:r w:rsidR="005413D7">
        <w:fldChar w:fldCharType="begin"/>
      </w:r>
      <w:r w:rsidR="00630472">
        <w:instrText xml:space="preserve"> REF _Ref405460956 \h </w:instrText>
      </w:r>
      <w:r w:rsidR="005413D7">
        <w:fldChar w:fldCharType="separate"/>
      </w:r>
      <w:r w:rsidR="00AF57FD">
        <w:rPr>
          <w:b/>
          <w:bCs/>
        </w:rPr>
        <w:t>Fout! Verwijzingsbron niet gevonden.</w:t>
      </w:r>
      <w:r w:rsidR="005413D7">
        <w:fldChar w:fldCharType="end"/>
      </w:r>
      <w:r w:rsidR="004C2A12">
        <w:t>. Deze beheersmaatregelen leiden tot maatregelen in organisatie</w:t>
      </w:r>
      <w:r w:rsidR="002477DF">
        <w:t>s</w:t>
      </w:r>
      <w:r w:rsidR="004C2A12">
        <w:t>, processen, applicaties en/of technologie.</w:t>
      </w:r>
    </w:p>
    <w:p w:rsidR="003B50E6" w:rsidRDefault="003B50E6" w:rsidP="00FC50AD">
      <w:pPr>
        <w:spacing w:after="0" w:line="260" w:lineRule="atLeast"/>
      </w:pPr>
    </w:p>
    <w:p w:rsidR="00546361" w:rsidRDefault="00891B4D" w:rsidP="003B50E6">
      <w:pPr>
        <w:keepNext/>
        <w:spacing w:after="0" w:line="260" w:lineRule="atLeast"/>
        <w:jc w:val="center"/>
      </w:pPr>
      <w:r>
        <w:rPr>
          <w:noProof/>
        </w:rPr>
        <w:drawing>
          <wp:inline distT="0" distB="0" distL="0" distR="0" wp14:anchorId="75FEDBF5" wp14:editId="4D493ECA">
            <wp:extent cx="4314825" cy="2252793"/>
            <wp:effectExtent l="19050" t="0" r="9525" b="0"/>
            <wp:docPr id="4" name="Afbeelding 2" descr="http://www.noraonline.nl/images/noraonline/0/01/Risicoanaly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oraonline.nl/images/noraonline/0/01/Risicoanalyse.png"/>
                    <pic:cNvPicPr>
                      <a:picLocks noChangeAspect="1" noChangeArrowheads="1"/>
                    </pic:cNvPicPr>
                  </pic:nvPicPr>
                  <pic:blipFill>
                    <a:blip r:embed="rId12" cstate="print"/>
                    <a:srcRect/>
                    <a:stretch>
                      <a:fillRect/>
                    </a:stretch>
                  </pic:blipFill>
                  <pic:spPr bwMode="auto">
                    <a:xfrm>
                      <a:off x="0" y="0"/>
                      <a:ext cx="4314825" cy="2252793"/>
                    </a:xfrm>
                    <a:prstGeom prst="rect">
                      <a:avLst/>
                    </a:prstGeom>
                    <a:noFill/>
                    <a:ln w="9525">
                      <a:noFill/>
                      <a:miter lim="800000"/>
                      <a:headEnd/>
                      <a:tailEnd/>
                    </a:ln>
                  </pic:spPr>
                </pic:pic>
              </a:graphicData>
            </a:graphic>
          </wp:inline>
        </w:drawing>
      </w:r>
    </w:p>
    <w:p w:rsidR="00891B4D" w:rsidRDefault="00546361" w:rsidP="00FC50AD">
      <w:pPr>
        <w:pStyle w:val="Bijschrift"/>
        <w:spacing w:after="0" w:line="260" w:lineRule="atLeast"/>
        <w:jc w:val="center"/>
      </w:pPr>
      <w:bookmarkStart w:id="68" w:name="_Ref402441771"/>
      <w:r>
        <w:t xml:space="preserve">Figuur </w:t>
      </w:r>
      <w:bookmarkEnd w:id="68"/>
      <w:r w:rsidR="001B7DFE">
        <w:t>1</w:t>
      </w:r>
      <w:r>
        <w:t>: Risicoanalyse (uit NORA Katern Beveiliging)</w:t>
      </w:r>
    </w:p>
    <w:p w:rsidR="00FC50AD" w:rsidRPr="00FC50AD" w:rsidRDefault="00FC50AD" w:rsidP="00FC50AD"/>
    <w:p w:rsidR="002477DF" w:rsidRDefault="005F6E2D" w:rsidP="00FC50AD">
      <w:pPr>
        <w:spacing w:after="0" w:line="260" w:lineRule="atLeast"/>
      </w:pPr>
      <w:r>
        <w:t xml:space="preserve">Doet zich een </w:t>
      </w:r>
      <w:r w:rsidR="002477DF">
        <w:t xml:space="preserve">situatie </w:t>
      </w:r>
      <w:r>
        <w:t xml:space="preserve">voor </w:t>
      </w:r>
      <w:r w:rsidR="002477DF">
        <w:t>die</w:t>
      </w:r>
      <w:r w:rsidR="00C10BE1">
        <w:t xml:space="preserve"> - vanuit proces, organisatie en/of doelstellingen -</w:t>
      </w:r>
      <w:r w:rsidR="00581918">
        <w:t xml:space="preserve"> </w:t>
      </w:r>
      <w:r w:rsidR="002477DF">
        <w:t xml:space="preserve">afwijkt van het Basisniveau Beveiliging, </w:t>
      </w:r>
      <w:r>
        <w:t xml:space="preserve">dan </w:t>
      </w:r>
      <w:r w:rsidR="002477DF">
        <w:t xml:space="preserve">vindt een risicoanalyse plaats </w:t>
      </w:r>
      <w:r w:rsidR="009F7387">
        <w:t xml:space="preserve">die </w:t>
      </w:r>
      <w:r w:rsidR="002477DF">
        <w:t xml:space="preserve">gericht </w:t>
      </w:r>
      <w:r w:rsidR="009F7387">
        <w:t xml:space="preserve">is </w:t>
      </w:r>
      <w:r w:rsidR="002477DF">
        <w:t>op die afwijkende situatie. Zo'n risico</w:t>
      </w:r>
      <w:r w:rsidR="00302532">
        <w:t xml:space="preserve">analyse leidt tot nieuwe kaders. Die gelden dan </w:t>
      </w:r>
      <w:r w:rsidR="007C5EFC">
        <w:t xml:space="preserve">als aanvullend kader </w:t>
      </w:r>
      <w:r w:rsidR="002477DF">
        <w:t>voor die specifieke situatie</w:t>
      </w:r>
      <w:r w:rsidR="00C47C8D">
        <w:t>. Als</w:t>
      </w:r>
      <w:r w:rsidR="002477DF">
        <w:t xml:space="preserve"> he</w:t>
      </w:r>
      <w:r w:rsidR="00C47C8D">
        <w:t xml:space="preserve">t opgestelde kader breder geldt, dan wordt het </w:t>
      </w:r>
      <w:r w:rsidR="002477DF">
        <w:t xml:space="preserve">opgenomen in </w:t>
      </w:r>
      <w:r w:rsidR="007C5EFC">
        <w:t>het basisniveau</w:t>
      </w:r>
      <w:r w:rsidR="002477DF">
        <w:t xml:space="preserve"> zelf. Zodoende breidt het Basisniveau Beveiliging zich </w:t>
      </w:r>
      <w:r w:rsidR="00684AD9">
        <w:t>met elke risicoanalyse weer een stap</w:t>
      </w:r>
      <w:r w:rsidR="002477DF">
        <w:t xml:space="preserve"> verder uit. </w:t>
      </w:r>
    </w:p>
    <w:p w:rsidR="00FC50AD" w:rsidRDefault="00FC50AD" w:rsidP="00FC50AD">
      <w:pPr>
        <w:pStyle w:val="Kop2"/>
        <w:spacing w:before="0" w:line="260" w:lineRule="atLeast"/>
      </w:pPr>
    </w:p>
    <w:p w:rsidR="002A6F2D" w:rsidRDefault="002B6FE3" w:rsidP="00FC50AD">
      <w:pPr>
        <w:pStyle w:val="Kop2"/>
        <w:spacing w:before="0" w:line="260" w:lineRule="atLeast"/>
      </w:pPr>
      <w:bookmarkStart w:id="69" w:name="_Toc410657897"/>
      <w:bookmarkStart w:id="70" w:name="_Toc410767905"/>
      <w:bookmarkStart w:id="71" w:name="_Toc410923396"/>
      <w:bookmarkStart w:id="72" w:name="_Toc411290625"/>
      <w:bookmarkStart w:id="73" w:name="_Toc412100415"/>
      <w:r>
        <w:t>4.2</w:t>
      </w:r>
      <w:r w:rsidR="003B50E6">
        <w:t xml:space="preserve"> Risico</w:t>
      </w:r>
      <w:r w:rsidR="002A6F2D">
        <w:t>analyse</w:t>
      </w:r>
      <w:bookmarkEnd w:id="69"/>
      <w:bookmarkEnd w:id="70"/>
      <w:bookmarkEnd w:id="71"/>
      <w:bookmarkEnd w:id="72"/>
      <w:bookmarkEnd w:id="73"/>
    </w:p>
    <w:p w:rsidR="00733CE2" w:rsidRPr="00733CE2" w:rsidRDefault="00733CE2" w:rsidP="00733CE2">
      <w:r>
        <w:t>Het Basisniveau Beveiliging wordt gevoed vanuit risicoanalyses. Initieel is (wa</w:t>
      </w:r>
      <w:r w:rsidR="006F0A34">
        <w:t>s</w:t>
      </w:r>
      <w:r>
        <w:t>) het basisniveau nog leeg.</w:t>
      </w:r>
      <w:r w:rsidR="003B50E6">
        <w:t xml:space="preserve"> </w:t>
      </w:r>
      <w:r>
        <w:t xml:space="preserve">Uit een </w:t>
      </w:r>
      <w:r w:rsidR="00E138F0">
        <w:t>risicoanalyse</w:t>
      </w:r>
      <w:r>
        <w:t xml:space="preserve"> voor het domein Toetsen en Examineren is de eerste invulling van het </w:t>
      </w:r>
      <w:r w:rsidR="00E138F0">
        <w:t>basisniveau</w:t>
      </w:r>
      <w:r>
        <w:t>, zoals dat in Hoofdstuk 3 is beschreven, tot stand gekomen.</w:t>
      </w:r>
    </w:p>
    <w:p w:rsidR="00B922CB" w:rsidRDefault="001B7DFE" w:rsidP="00FC50AD">
      <w:pPr>
        <w:spacing w:after="0" w:line="260" w:lineRule="atLeast"/>
      </w:pPr>
      <w:r>
        <w:t>E</w:t>
      </w:r>
      <w:r w:rsidR="00894736">
        <w:t xml:space="preserve">r </w:t>
      </w:r>
      <w:r>
        <w:t xml:space="preserve">zijn echter </w:t>
      </w:r>
      <w:r w:rsidR="00894736">
        <w:t xml:space="preserve">nog meer </w:t>
      </w:r>
      <w:r w:rsidR="007C5EFC">
        <w:t>gebieden</w:t>
      </w:r>
      <w:r w:rsidR="00894736">
        <w:t xml:space="preserve">, waarvoor op een soortgelijke manier een risicoanalyse kan worden uitgevoerd. De resultaten </w:t>
      </w:r>
      <w:r w:rsidR="00327AB5">
        <w:t>van</w:t>
      </w:r>
      <w:r w:rsidR="00894736">
        <w:t xml:space="preserve"> die risicoanalyses kunnen </w:t>
      </w:r>
      <w:r w:rsidR="00327AB5">
        <w:t>ook</w:t>
      </w:r>
      <w:r w:rsidR="00894736">
        <w:t xml:space="preserve"> </w:t>
      </w:r>
      <w:r w:rsidR="00894736" w:rsidRPr="00B922CB">
        <w:t>ondergebracht worden in het Basisniveau Beveiliging.</w:t>
      </w:r>
      <w:r w:rsidR="00B922CB" w:rsidRPr="00B922CB">
        <w:t xml:space="preserve"> Door steeds meer resultaten samen te brengen in dit katern ontstaat een </w:t>
      </w:r>
      <w:r w:rsidR="00060AD4">
        <w:t>steeds breder</w:t>
      </w:r>
      <w:r>
        <w:t>e</w:t>
      </w:r>
      <w:r w:rsidR="00060AD4">
        <w:t xml:space="preserve"> basisniveau</w:t>
      </w:r>
      <w:r w:rsidR="00B922CB" w:rsidRPr="00B922CB">
        <w:t xml:space="preserve"> voor pr</w:t>
      </w:r>
      <w:r w:rsidR="00327AB5">
        <w:t xml:space="preserve">ivacy en informatiebeveiliging. Ook groeit zo de </w:t>
      </w:r>
      <w:r w:rsidR="00B922CB" w:rsidRPr="00B922CB">
        <w:rPr>
          <w:i/>
        </w:rPr>
        <w:t xml:space="preserve">body of </w:t>
      </w:r>
      <w:proofErr w:type="spellStart"/>
      <w:r w:rsidR="00B922CB" w:rsidRPr="00B922CB">
        <w:rPr>
          <w:i/>
        </w:rPr>
        <w:t>knowledge</w:t>
      </w:r>
      <w:proofErr w:type="spellEnd"/>
      <w:r w:rsidR="00B922CB" w:rsidRPr="00B922CB">
        <w:t xml:space="preserve"> over (de toepassing van) maatregelen om aan </w:t>
      </w:r>
      <w:r w:rsidR="00060AD4">
        <w:t>dat basisniveau</w:t>
      </w:r>
      <w:r w:rsidR="00B922CB" w:rsidRPr="00B922CB">
        <w:t xml:space="preserve"> te voldoen.</w:t>
      </w:r>
    </w:p>
    <w:p w:rsidR="00FC50AD" w:rsidRDefault="00FC50AD" w:rsidP="00FC50AD">
      <w:pPr>
        <w:spacing w:after="0" w:line="260" w:lineRule="atLeast"/>
      </w:pPr>
    </w:p>
    <w:p w:rsidR="003F78A3" w:rsidRDefault="00327AB5" w:rsidP="00FC50AD">
      <w:pPr>
        <w:spacing w:after="0" w:line="260" w:lineRule="atLeast"/>
      </w:pPr>
      <w:r>
        <w:t xml:space="preserve">Een </w:t>
      </w:r>
      <w:r w:rsidR="003F78A3">
        <w:t xml:space="preserve">risicoanalyse </w:t>
      </w:r>
      <w:r>
        <w:t xml:space="preserve">uitvoeren gaat </w:t>
      </w:r>
      <w:r w:rsidR="003F78A3">
        <w:t>op hoofdlijnen als volgt:</w:t>
      </w:r>
    </w:p>
    <w:p w:rsidR="003F78A3" w:rsidRDefault="003F78A3" w:rsidP="00FC50AD">
      <w:pPr>
        <w:pStyle w:val="Lijstalinea"/>
        <w:numPr>
          <w:ilvl w:val="0"/>
          <w:numId w:val="15"/>
        </w:numPr>
        <w:spacing w:after="0" w:line="260" w:lineRule="atLeast"/>
      </w:pPr>
      <w:r>
        <w:t>Het ketenproces wordt beschreven in opeenvolgende stappen. In elke ketenprocesstap vindt interactie plaats tussen actoren en bepaalde gegevens.</w:t>
      </w:r>
    </w:p>
    <w:p w:rsidR="003F78A3" w:rsidRDefault="003F78A3" w:rsidP="00FC50AD">
      <w:pPr>
        <w:pStyle w:val="Lijstalinea"/>
        <w:numPr>
          <w:ilvl w:val="1"/>
          <w:numId w:val="15"/>
        </w:numPr>
        <w:spacing w:after="0" w:line="260" w:lineRule="atLeast"/>
      </w:pPr>
      <w:r>
        <w:t xml:space="preserve">Voorbeeld (uit ketenproces </w:t>
      </w:r>
      <w:r w:rsidR="00867E69">
        <w:t>T</w:t>
      </w:r>
      <w:r>
        <w:t xml:space="preserve">oetsen en </w:t>
      </w:r>
      <w:r w:rsidR="00867E69">
        <w:t>E</w:t>
      </w:r>
      <w:r>
        <w:t xml:space="preserve">xamineren): </w:t>
      </w:r>
      <w:r w:rsidRPr="003F78A3">
        <w:rPr>
          <w:i/>
        </w:rPr>
        <w:t>De onderwijsvolger meldt zich aan voor een toets (of wordt aangemeld door de docent)</w:t>
      </w:r>
      <w:r>
        <w:t>.</w:t>
      </w:r>
    </w:p>
    <w:p w:rsidR="003F78A3" w:rsidRDefault="003F78A3" w:rsidP="00FC50AD">
      <w:pPr>
        <w:pStyle w:val="Lijstalinea"/>
        <w:numPr>
          <w:ilvl w:val="1"/>
          <w:numId w:val="15"/>
        </w:numPr>
        <w:spacing w:after="0" w:line="260" w:lineRule="atLeast"/>
      </w:pPr>
      <w:r>
        <w:lastRenderedPageBreak/>
        <w:t xml:space="preserve">Voorbeeld (uit ketenproces </w:t>
      </w:r>
      <w:r w:rsidR="00867E69">
        <w:t>T</w:t>
      </w:r>
      <w:r>
        <w:t xml:space="preserve">oetsen en </w:t>
      </w:r>
      <w:r w:rsidR="00867E69">
        <w:t>E</w:t>
      </w:r>
      <w:r>
        <w:t xml:space="preserve">xamineren): </w:t>
      </w:r>
      <w:r>
        <w:rPr>
          <w:i/>
        </w:rPr>
        <w:t>In geval van een formeel (eind)resultaat levert de onderwijsinstelling de resultaatgegevens aan BRON.</w:t>
      </w:r>
    </w:p>
    <w:p w:rsidR="003F78A3" w:rsidRDefault="00C027EC" w:rsidP="00FC50AD">
      <w:pPr>
        <w:pStyle w:val="Lijstalinea"/>
        <w:numPr>
          <w:ilvl w:val="0"/>
          <w:numId w:val="15"/>
        </w:numPr>
        <w:spacing w:after="0" w:line="260" w:lineRule="atLeast"/>
      </w:pPr>
      <w:r>
        <w:t>Voor elke ketenprocesstap wordt een dia opgesteld die de betrokken actoren en gegevens toont.</w:t>
      </w:r>
    </w:p>
    <w:p w:rsidR="00812FF6" w:rsidRDefault="00C027EC" w:rsidP="00FC50AD">
      <w:pPr>
        <w:pStyle w:val="Lijstalinea"/>
        <w:numPr>
          <w:ilvl w:val="1"/>
          <w:numId w:val="15"/>
        </w:numPr>
        <w:spacing w:after="0" w:line="260" w:lineRule="atLeast"/>
      </w:pPr>
      <w:r>
        <w:t xml:space="preserve">Voorbeeld (uit ketenproces </w:t>
      </w:r>
      <w:r w:rsidR="00867E69">
        <w:t>T</w:t>
      </w:r>
      <w:r>
        <w:t xml:space="preserve">oetsen en </w:t>
      </w:r>
      <w:r w:rsidR="00867E69">
        <w:t>E</w:t>
      </w:r>
      <w:r>
        <w:t>xamineren):</w:t>
      </w:r>
    </w:p>
    <w:p w:rsidR="00C027EC" w:rsidRDefault="00C027EC" w:rsidP="00812FF6">
      <w:pPr>
        <w:pStyle w:val="Lijstalinea"/>
        <w:spacing w:after="0" w:line="260" w:lineRule="atLeast"/>
        <w:ind w:left="1440"/>
      </w:pPr>
      <w:r>
        <w:br/>
      </w:r>
      <w:r w:rsidRPr="00C027EC">
        <w:rPr>
          <w:noProof/>
        </w:rPr>
        <w:drawing>
          <wp:inline distT="0" distB="0" distL="0" distR="0" wp14:anchorId="326033D7" wp14:editId="2FB17FEB">
            <wp:extent cx="3263747" cy="2276475"/>
            <wp:effectExtent l="19050" t="0" r="0" b="0"/>
            <wp:docPr id="2"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srcRect/>
                    <a:stretch>
                      <a:fillRect/>
                    </a:stretch>
                  </pic:blipFill>
                  <pic:spPr bwMode="auto">
                    <a:xfrm>
                      <a:off x="0" y="0"/>
                      <a:ext cx="3267126" cy="2278832"/>
                    </a:xfrm>
                    <a:prstGeom prst="rect">
                      <a:avLst/>
                    </a:prstGeom>
                    <a:noFill/>
                    <a:ln w="9525">
                      <a:noFill/>
                      <a:miter lim="800000"/>
                      <a:headEnd/>
                      <a:tailEnd/>
                    </a:ln>
                  </pic:spPr>
                </pic:pic>
              </a:graphicData>
            </a:graphic>
          </wp:inline>
        </w:drawing>
      </w:r>
    </w:p>
    <w:p w:rsidR="00812FF6" w:rsidRDefault="00812FF6" w:rsidP="00812FF6">
      <w:pPr>
        <w:pStyle w:val="Lijstalinea"/>
        <w:spacing w:after="0" w:line="260" w:lineRule="atLeast"/>
        <w:ind w:left="1440"/>
      </w:pPr>
    </w:p>
    <w:p w:rsidR="00812FF6" w:rsidRDefault="00C027EC" w:rsidP="00FC50AD">
      <w:pPr>
        <w:pStyle w:val="Lijstalinea"/>
        <w:numPr>
          <w:ilvl w:val="1"/>
          <w:numId w:val="15"/>
        </w:numPr>
        <w:spacing w:after="0" w:line="260" w:lineRule="atLeast"/>
      </w:pPr>
      <w:r>
        <w:t xml:space="preserve">Voorbeeld (uit ketenproces </w:t>
      </w:r>
      <w:r w:rsidR="003634FD">
        <w:t>T</w:t>
      </w:r>
      <w:r>
        <w:t xml:space="preserve">oetsen en </w:t>
      </w:r>
      <w:r w:rsidR="003634FD">
        <w:t>E</w:t>
      </w:r>
      <w:r>
        <w:t>xamineren):</w:t>
      </w:r>
    </w:p>
    <w:p w:rsidR="00C027EC" w:rsidRDefault="00C027EC" w:rsidP="00812FF6">
      <w:pPr>
        <w:pStyle w:val="Lijstalinea"/>
        <w:spacing w:after="0" w:line="260" w:lineRule="atLeast"/>
        <w:ind w:left="1440"/>
      </w:pPr>
      <w:r>
        <w:br/>
      </w:r>
      <w:r w:rsidRPr="00C027EC">
        <w:rPr>
          <w:noProof/>
        </w:rPr>
        <w:drawing>
          <wp:inline distT="0" distB="0" distL="0" distR="0" wp14:anchorId="478538C8" wp14:editId="5CE02566">
            <wp:extent cx="2981325" cy="2228850"/>
            <wp:effectExtent l="19050" t="0" r="9525" b="0"/>
            <wp:docPr id="3" name="Afbeelding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2980339" cy="2228113"/>
                    </a:xfrm>
                    <a:prstGeom prst="rect">
                      <a:avLst/>
                    </a:prstGeom>
                  </pic:spPr>
                </pic:pic>
              </a:graphicData>
            </a:graphic>
          </wp:inline>
        </w:drawing>
      </w:r>
    </w:p>
    <w:p w:rsidR="00812FF6" w:rsidRDefault="00812FF6" w:rsidP="00812FF6">
      <w:pPr>
        <w:pStyle w:val="Lijstalinea"/>
        <w:spacing w:after="0" w:line="260" w:lineRule="atLeast"/>
      </w:pPr>
    </w:p>
    <w:p w:rsidR="00C027EC" w:rsidRDefault="00C027EC" w:rsidP="00FC50AD">
      <w:pPr>
        <w:pStyle w:val="Lijstalinea"/>
        <w:numPr>
          <w:ilvl w:val="0"/>
          <w:numId w:val="15"/>
        </w:numPr>
        <w:spacing w:after="0" w:line="260" w:lineRule="atLeast"/>
      </w:pPr>
      <w:r>
        <w:t xml:space="preserve">De dia's worden afgedrukt en </w:t>
      </w:r>
      <w:r w:rsidR="006E1296">
        <w:t xml:space="preserve">krijgen een plaats </w:t>
      </w:r>
      <w:r>
        <w:t>aan de muur van de workshopruimte</w:t>
      </w:r>
      <w:r w:rsidR="003524EF">
        <w:t>.</w:t>
      </w:r>
    </w:p>
    <w:p w:rsidR="00C027EC" w:rsidRDefault="006E1296" w:rsidP="00FC50AD">
      <w:pPr>
        <w:pStyle w:val="Lijstalinea"/>
        <w:numPr>
          <w:ilvl w:val="0"/>
          <w:numId w:val="15"/>
        </w:numPr>
        <w:spacing w:after="0" w:line="260" w:lineRule="atLeast"/>
      </w:pPr>
      <w:r>
        <w:t>D</w:t>
      </w:r>
      <w:r w:rsidR="00C027EC">
        <w:t xml:space="preserve">e aanwezige experts </w:t>
      </w:r>
      <w:r>
        <w:t>benoemen</w:t>
      </w:r>
      <w:r w:rsidR="00C027EC">
        <w:t xml:space="preserve"> in hun eigen woorden</w:t>
      </w:r>
      <w:r>
        <w:t xml:space="preserve"> de</w:t>
      </w:r>
      <w:r w:rsidR="00C027EC">
        <w:t xml:space="preserve"> risico's die </w:t>
      </w:r>
      <w:r>
        <w:t xml:space="preserve">samenhangen met het ketenproces. Ze noteren </w:t>
      </w:r>
      <w:r w:rsidR="00C027EC">
        <w:t xml:space="preserve">deze </w:t>
      </w:r>
      <w:r>
        <w:t xml:space="preserve">risico's </w:t>
      </w:r>
      <w:r w:rsidR="00C027EC">
        <w:t>op een post-</w:t>
      </w:r>
      <w:proofErr w:type="spellStart"/>
      <w:r w:rsidR="00C027EC">
        <w:t>it</w:t>
      </w:r>
      <w:proofErr w:type="spellEnd"/>
      <w:r w:rsidR="003524EF">
        <w:t xml:space="preserve"> en plakken deze </w:t>
      </w:r>
      <w:r w:rsidR="00C027EC">
        <w:t xml:space="preserve">op de </w:t>
      </w:r>
      <w:r w:rsidR="00082660">
        <w:t>afdruk van</w:t>
      </w:r>
      <w:r w:rsidR="00C027EC">
        <w:t xml:space="preserve"> de proces</w:t>
      </w:r>
      <w:r w:rsidR="003524EF">
        <w:t>stap waarin dat risico optreedt.</w:t>
      </w:r>
    </w:p>
    <w:p w:rsidR="00C027EC" w:rsidRDefault="00C5158E" w:rsidP="00FC50AD">
      <w:pPr>
        <w:pStyle w:val="Lijstalinea"/>
        <w:numPr>
          <w:ilvl w:val="0"/>
          <w:numId w:val="15"/>
        </w:numPr>
        <w:spacing w:after="0" w:line="260" w:lineRule="atLeast"/>
      </w:pPr>
      <w:r>
        <w:t>De geïdentificeerde risico's worden plenair besproken en waar nodig toegelicht door de indiener.</w:t>
      </w:r>
      <w:r w:rsidR="00704587">
        <w:t xml:space="preserve"> Eventueel </w:t>
      </w:r>
      <w:r w:rsidR="00226632">
        <w:t>kunnen</w:t>
      </w:r>
      <w:r w:rsidR="00704587">
        <w:t xml:space="preserve"> risico's na bespreking </w:t>
      </w:r>
      <w:r w:rsidR="00226632">
        <w:t xml:space="preserve">dan </w:t>
      </w:r>
      <w:r w:rsidR="00704587">
        <w:t xml:space="preserve">alsnog </w:t>
      </w:r>
      <w:r w:rsidR="00226632">
        <w:t>vervallen</w:t>
      </w:r>
      <w:r w:rsidR="00704587">
        <w:t>.</w:t>
      </w:r>
    </w:p>
    <w:p w:rsidR="00D93B6A" w:rsidRDefault="00704587" w:rsidP="00FC50AD">
      <w:pPr>
        <w:pStyle w:val="Lijstalinea"/>
        <w:numPr>
          <w:ilvl w:val="0"/>
          <w:numId w:val="15"/>
        </w:numPr>
        <w:spacing w:after="0" w:line="260" w:lineRule="atLeast"/>
      </w:pPr>
      <w:r>
        <w:t xml:space="preserve">Alle geïdentificeerde risico's worden ter verdere analyse op een risicolijst </w:t>
      </w:r>
      <w:r w:rsidR="00871319">
        <w:t>gezet</w:t>
      </w:r>
      <w:r>
        <w:t>.</w:t>
      </w:r>
    </w:p>
    <w:p w:rsidR="00812FF6" w:rsidRDefault="00812FF6" w:rsidP="00FC50AD">
      <w:pPr>
        <w:spacing w:after="0" w:line="260" w:lineRule="atLeast"/>
      </w:pPr>
    </w:p>
    <w:p w:rsidR="00704587" w:rsidRDefault="00704587" w:rsidP="00FC50AD">
      <w:pPr>
        <w:spacing w:after="0" w:line="260" w:lineRule="atLeast"/>
      </w:pPr>
      <w:r>
        <w:t>Na deze workshopfase volgt een analysefase</w:t>
      </w:r>
      <w:r w:rsidR="00871319">
        <w:t>. Daarin worden</w:t>
      </w:r>
      <w:r>
        <w:t xml:space="preserve"> de geïdentificeerde risico's geclusterd</w:t>
      </w:r>
      <w:r w:rsidR="005D752F">
        <w:t>. V</w:t>
      </w:r>
      <w:r w:rsidR="00E04D58">
        <w:t xml:space="preserve">oor risico's die nog niet door </w:t>
      </w:r>
      <w:r w:rsidR="00E750F4">
        <w:t>het basisniveau privacy en beveiliging</w:t>
      </w:r>
      <w:r w:rsidR="00E04D58">
        <w:t xml:space="preserve"> afgedekt </w:t>
      </w:r>
      <w:r w:rsidR="005D752F">
        <w:t>zijn</w:t>
      </w:r>
      <w:r w:rsidR="00E04D58">
        <w:t>,</w:t>
      </w:r>
      <w:r>
        <w:t xml:space="preserve"> </w:t>
      </w:r>
      <w:r w:rsidR="005D752F">
        <w:t xml:space="preserve">worden </w:t>
      </w:r>
      <w:r w:rsidR="00C013D8">
        <w:t xml:space="preserve">kaders </w:t>
      </w:r>
      <w:r>
        <w:t xml:space="preserve">geformuleerd </w:t>
      </w:r>
      <w:r w:rsidR="005A1DB3">
        <w:t>om</w:t>
      </w:r>
      <w:r w:rsidR="00082660">
        <w:t xml:space="preserve"> </w:t>
      </w:r>
      <w:r w:rsidR="00C013D8">
        <w:t xml:space="preserve">deze (clusters van) </w:t>
      </w:r>
      <w:r>
        <w:t xml:space="preserve">risico's </w:t>
      </w:r>
      <w:r w:rsidR="00C013D8">
        <w:t>af te dekken. De analyseresultaten worden gedeeld en in een vervolgbijeenkomst besproken met de bij de workshop betrokken experts, opdat hierover overeenstemming wordt bereikt.</w:t>
      </w:r>
      <w:r w:rsidR="00DC5425">
        <w:t xml:space="preserve"> De tabel hieronder toont een cluster van </w:t>
      </w:r>
      <w:r w:rsidR="00AA57C8">
        <w:t>soortgelijke risico's (</w:t>
      </w:r>
      <w:proofErr w:type="spellStart"/>
      <w:r w:rsidR="00AA57C8">
        <w:t>linkerkolom</w:t>
      </w:r>
      <w:proofErr w:type="spellEnd"/>
      <w:r w:rsidR="00AA57C8">
        <w:t>) dat door hetzelfde kader (rechterkolom) wordt afgedekt.</w:t>
      </w:r>
    </w:p>
    <w:p w:rsidR="00C013D8" w:rsidRDefault="00DC5425" w:rsidP="00FC50AD">
      <w:pPr>
        <w:spacing w:after="0" w:line="260" w:lineRule="atLeast"/>
      </w:pPr>
      <w:r w:rsidRPr="00DC5425">
        <w:rPr>
          <w:noProof/>
        </w:rPr>
        <w:lastRenderedPageBreak/>
        <w:drawing>
          <wp:inline distT="0" distB="0" distL="0" distR="0" wp14:anchorId="1E07A49B" wp14:editId="26428D07">
            <wp:extent cx="5400000" cy="2695238"/>
            <wp:effectExtent l="19050" t="0" r="0" b="0"/>
            <wp:docPr id="5" name="Afbeelding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5400000" cy="2695238"/>
                    </a:xfrm>
                    <a:prstGeom prst="rect">
                      <a:avLst/>
                    </a:prstGeom>
                  </pic:spPr>
                </pic:pic>
              </a:graphicData>
            </a:graphic>
          </wp:inline>
        </w:drawing>
      </w:r>
    </w:p>
    <w:p w:rsidR="003B50E6" w:rsidRDefault="003B50E6" w:rsidP="00FC50AD">
      <w:pPr>
        <w:spacing w:after="0" w:line="260" w:lineRule="atLeast"/>
      </w:pPr>
    </w:p>
    <w:p w:rsidR="00C013D8" w:rsidRDefault="00C013D8" w:rsidP="00FC50AD">
      <w:pPr>
        <w:spacing w:after="0" w:line="260" w:lineRule="atLeast"/>
      </w:pPr>
      <w:r>
        <w:t>Waar mogelijk worden</w:t>
      </w:r>
      <w:r w:rsidR="002B759E">
        <w:t>, zoals hierboven,</w:t>
      </w:r>
      <w:r>
        <w:t xml:space="preserve"> de gestelde kaders zó veralgemeniseerd, dat ze opgenomen kunnen worden in </w:t>
      </w:r>
      <w:r w:rsidR="00741B4B">
        <w:t>het basisniveau</w:t>
      </w:r>
      <w:r>
        <w:t xml:space="preserve"> uit paragraaf 3.1. </w:t>
      </w:r>
      <w:r w:rsidR="002B759E">
        <w:t xml:space="preserve">Anders worden ze, zoals hieronder, </w:t>
      </w:r>
      <w:r>
        <w:t xml:space="preserve">geformuleerd als aanvullende kaders op </w:t>
      </w:r>
      <w:r w:rsidR="00DD3D2B">
        <w:t>het basisniveau</w:t>
      </w:r>
      <w:r>
        <w:t xml:space="preserve"> voor een specifiek ketenproces (zie paragraaf 3.2).</w:t>
      </w:r>
    </w:p>
    <w:p w:rsidR="003B50E6" w:rsidRDefault="003B50E6" w:rsidP="00FC50AD">
      <w:pPr>
        <w:spacing w:after="0" w:line="260" w:lineRule="atLeast"/>
      </w:pPr>
    </w:p>
    <w:p w:rsidR="00C013D8" w:rsidRDefault="002B759E" w:rsidP="00FC50AD">
      <w:pPr>
        <w:spacing w:after="0" w:line="260" w:lineRule="atLeast"/>
      </w:pPr>
      <w:r w:rsidRPr="002B759E">
        <w:rPr>
          <w:noProof/>
        </w:rPr>
        <w:drawing>
          <wp:inline distT="0" distB="0" distL="0" distR="0" wp14:anchorId="6228FA4A" wp14:editId="5916E44A">
            <wp:extent cx="5371429" cy="466667"/>
            <wp:effectExtent l="19050" t="0" r="671" b="0"/>
            <wp:docPr id="6" name="Afbeelding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5371429" cy="466667"/>
                    </a:xfrm>
                    <a:prstGeom prst="rect">
                      <a:avLst/>
                    </a:prstGeom>
                  </pic:spPr>
                </pic:pic>
              </a:graphicData>
            </a:graphic>
          </wp:inline>
        </w:drawing>
      </w:r>
    </w:p>
    <w:p w:rsidR="003B50E6" w:rsidRDefault="003B50E6" w:rsidP="00FC50AD">
      <w:pPr>
        <w:spacing w:after="0" w:line="260" w:lineRule="atLeast"/>
      </w:pPr>
    </w:p>
    <w:p w:rsidR="009C3E2C" w:rsidRDefault="00E04D58" w:rsidP="00FC50AD">
      <w:pPr>
        <w:spacing w:after="0" w:line="260" w:lineRule="atLeast"/>
      </w:pPr>
      <w:r>
        <w:t>Op basis van deze kaders kunnen vervolgens passende maatregelen worden geselecteerd, zoals geïllustreerd in</w:t>
      </w:r>
      <w:r w:rsidR="00630472">
        <w:t xml:space="preserve"> </w:t>
      </w:r>
      <w:r w:rsidR="005413D7">
        <w:fldChar w:fldCharType="begin"/>
      </w:r>
      <w:r w:rsidR="00630472">
        <w:instrText xml:space="preserve"> REF _Ref405460978 \h </w:instrText>
      </w:r>
      <w:r w:rsidR="005413D7">
        <w:fldChar w:fldCharType="separate"/>
      </w:r>
      <w:r w:rsidR="00AF57FD">
        <w:rPr>
          <w:b/>
          <w:bCs/>
        </w:rPr>
        <w:t>Fout! Verwijzingsbron niet gevonden.</w:t>
      </w:r>
      <w:r w:rsidR="005413D7">
        <w:fldChar w:fldCharType="end"/>
      </w:r>
      <w:r w:rsidR="00630472">
        <w:t>.</w:t>
      </w:r>
    </w:p>
    <w:p w:rsidR="00E04D58" w:rsidRPr="00B922CB" w:rsidRDefault="00E04D58" w:rsidP="00FC50AD">
      <w:pPr>
        <w:spacing w:after="0" w:line="260" w:lineRule="atLeast"/>
      </w:pPr>
    </w:p>
    <w:p w:rsidR="007461C2" w:rsidRDefault="007461C2" w:rsidP="00FC50AD">
      <w:pPr>
        <w:pStyle w:val="Kop2"/>
        <w:spacing w:before="0" w:line="260" w:lineRule="atLeast"/>
      </w:pPr>
      <w:bookmarkStart w:id="74" w:name="_Toc410657898"/>
      <w:bookmarkStart w:id="75" w:name="_Toc410767906"/>
      <w:bookmarkStart w:id="76" w:name="_Toc410923397"/>
      <w:bookmarkStart w:id="77" w:name="_Toc411290626"/>
      <w:bookmarkStart w:id="78" w:name="_Toc412100416"/>
      <w:r>
        <w:t>4.3 Risicoclassificatie</w:t>
      </w:r>
      <w:bookmarkEnd w:id="74"/>
      <w:bookmarkEnd w:id="75"/>
      <w:bookmarkEnd w:id="76"/>
      <w:bookmarkEnd w:id="77"/>
      <w:bookmarkEnd w:id="78"/>
    </w:p>
    <w:p w:rsidR="007461C2" w:rsidRPr="002F1956" w:rsidRDefault="009C044E" w:rsidP="00FC50AD">
      <w:pPr>
        <w:spacing w:after="0" w:line="260" w:lineRule="atLeast"/>
      </w:pPr>
      <w:r>
        <w:t>D</w:t>
      </w:r>
      <w:r w:rsidR="007461C2">
        <w:t xml:space="preserve">e zwaarte van de te nemen maatregelen </w:t>
      </w:r>
      <w:r w:rsidR="008001D4">
        <w:t xml:space="preserve">hangt in de regel </w:t>
      </w:r>
      <w:r w:rsidR="007461C2">
        <w:t>af van</w:t>
      </w:r>
      <w:r w:rsidR="008001D4">
        <w:t xml:space="preserve"> de zogenaamde </w:t>
      </w:r>
      <w:r w:rsidR="008001D4" w:rsidRPr="009C0946">
        <w:t>BIV-</w:t>
      </w:r>
      <w:r w:rsidR="007461C2" w:rsidRPr="009C0946">
        <w:t>classificatie</w:t>
      </w:r>
      <w:r w:rsidR="008001D4">
        <w:t xml:space="preserve"> van de </w:t>
      </w:r>
      <w:r w:rsidR="00573897">
        <w:t xml:space="preserve">gegevens die </w:t>
      </w:r>
      <w:r w:rsidR="00A0550D">
        <w:t>bij een ketenprocesstap betrokken</w:t>
      </w:r>
      <w:r w:rsidR="00F63659">
        <w:t xml:space="preserve"> </w:t>
      </w:r>
      <w:r w:rsidR="00573897">
        <w:t>zijn</w:t>
      </w:r>
      <w:r w:rsidR="007461C2" w:rsidRPr="002F1956">
        <w:t xml:space="preserve">. In de toekomst zullen alle gegevens waarop </w:t>
      </w:r>
      <w:r w:rsidR="007461C2">
        <w:t>i</w:t>
      </w:r>
      <w:r w:rsidR="007461C2" w:rsidRPr="002F1956">
        <w:t>nformatiebeveiligingsbeleid van toepassing is, geclassificeerd moeten zijn. Het niveau van de beveiligingsmaatregelen is afhankelijk van de klasse.</w:t>
      </w:r>
    </w:p>
    <w:p w:rsidR="007461C2" w:rsidRPr="002F1956" w:rsidRDefault="007461C2" w:rsidP="00FC50AD">
      <w:pPr>
        <w:spacing w:after="0" w:line="260" w:lineRule="atLeast"/>
      </w:pPr>
      <w:r w:rsidRPr="002F1956">
        <w:t xml:space="preserve">De BIV classificatie is afgeleid van de </w:t>
      </w:r>
      <w:r>
        <w:t>volgende kwaliteitsaspecten:</w:t>
      </w:r>
    </w:p>
    <w:p w:rsidR="007461C2" w:rsidRPr="002F1956" w:rsidRDefault="007461C2" w:rsidP="00FC50AD">
      <w:pPr>
        <w:pStyle w:val="Lijstalinea"/>
        <w:numPr>
          <w:ilvl w:val="0"/>
          <w:numId w:val="14"/>
        </w:numPr>
        <w:spacing w:after="0" w:line="260" w:lineRule="atLeast"/>
      </w:pPr>
      <w:r w:rsidRPr="009C3E2C">
        <w:rPr>
          <w:b/>
        </w:rPr>
        <w:t>B</w:t>
      </w:r>
      <w:r w:rsidRPr="002F1956">
        <w:t>eschikbaarheid</w:t>
      </w:r>
    </w:p>
    <w:p w:rsidR="007461C2" w:rsidRPr="002F1956" w:rsidRDefault="007461C2" w:rsidP="00FC50AD">
      <w:pPr>
        <w:pStyle w:val="Lijstalinea"/>
        <w:numPr>
          <w:ilvl w:val="0"/>
          <w:numId w:val="14"/>
        </w:numPr>
        <w:spacing w:after="0" w:line="260" w:lineRule="atLeast"/>
      </w:pPr>
      <w:r w:rsidRPr="009C3E2C">
        <w:rPr>
          <w:b/>
        </w:rPr>
        <w:t>I</w:t>
      </w:r>
      <w:r w:rsidRPr="002F1956">
        <w:t>ntegriteit</w:t>
      </w:r>
    </w:p>
    <w:p w:rsidR="007461C2" w:rsidRPr="002F1956" w:rsidRDefault="007461C2" w:rsidP="00FC50AD">
      <w:pPr>
        <w:pStyle w:val="Lijstalinea"/>
        <w:numPr>
          <w:ilvl w:val="0"/>
          <w:numId w:val="14"/>
        </w:numPr>
        <w:spacing w:after="0" w:line="260" w:lineRule="atLeast"/>
      </w:pPr>
      <w:r w:rsidRPr="009C3E2C">
        <w:rPr>
          <w:b/>
        </w:rPr>
        <w:t>V</w:t>
      </w:r>
      <w:r w:rsidRPr="002F1956">
        <w:t>ertrouwelijkheid</w:t>
      </w:r>
    </w:p>
    <w:p w:rsidR="007461C2" w:rsidRPr="002F1956" w:rsidRDefault="007461C2" w:rsidP="00FC50AD">
      <w:pPr>
        <w:spacing w:after="0" w:line="260" w:lineRule="atLeast"/>
        <w:rPr>
          <w:rFonts w:cs="Mangal"/>
          <w:szCs w:val="20"/>
        </w:rPr>
      </w:pPr>
    </w:p>
    <w:p w:rsidR="007461C2" w:rsidRPr="002F1956" w:rsidRDefault="007461C2" w:rsidP="00FC50AD">
      <w:pPr>
        <w:spacing w:after="0" w:line="260" w:lineRule="atLeast"/>
        <w:rPr>
          <w:rFonts w:cs="Mangal"/>
          <w:szCs w:val="20"/>
        </w:rPr>
      </w:pPr>
      <w:r w:rsidRPr="002F1956">
        <w:rPr>
          <w:rFonts w:cs="Mangal"/>
          <w:szCs w:val="20"/>
        </w:rPr>
        <w:t xml:space="preserve">Ten aanzien van de </w:t>
      </w:r>
      <w:r w:rsidRPr="002F1956">
        <w:rPr>
          <w:rFonts w:cs="Mangal"/>
          <w:b/>
          <w:szCs w:val="20"/>
        </w:rPr>
        <w:t>beschikbaarheid</w:t>
      </w:r>
      <w:r w:rsidRPr="002F1956">
        <w:rPr>
          <w:rFonts w:cs="Mangal"/>
          <w:szCs w:val="20"/>
        </w:rPr>
        <w:t>seisen</w:t>
      </w:r>
      <w:r w:rsidRPr="002F1956">
        <w:rPr>
          <w:rFonts w:cs="Mangal"/>
          <w:b/>
          <w:szCs w:val="20"/>
        </w:rPr>
        <w:t xml:space="preserve"> </w:t>
      </w:r>
      <w:r w:rsidRPr="002F1956">
        <w:rPr>
          <w:rFonts w:cs="Mangal"/>
          <w:szCs w:val="20"/>
        </w:rPr>
        <w:t>worden de volgende klassen onderscheiden:</w:t>
      </w:r>
    </w:p>
    <w:tbl>
      <w:tblPr>
        <w:tblStyle w:val="Tabelraster"/>
        <w:tblW w:w="0" w:type="auto"/>
        <w:tblLook w:val="04A0" w:firstRow="1" w:lastRow="0" w:firstColumn="1" w:lastColumn="0" w:noHBand="0" w:noVBand="1"/>
      </w:tblPr>
      <w:tblGrid>
        <w:gridCol w:w="2150"/>
        <w:gridCol w:w="4492"/>
        <w:gridCol w:w="2646"/>
      </w:tblGrid>
      <w:tr w:rsidR="007461C2" w:rsidRPr="002F1956" w:rsidTr="007B29E3">
        <w:tc>
          <w:tcPr>
            <w:tcW w:w="2150" w:type="dxa"/>
            <w:tcBorders>
              <w:top w:val="single" w:sz="4" w:space="0" w:color="auto"/>
              <w:left w:val="single" w:sz="4" w:space="0" w:color="auto"/>
              <w:bottom w:val="single" w:sz="4" w:space="0" w:color="auto"/>
              <w:right w:val="single" w:sz="4" w:space="0" w:color="auto"/>
            </w:tcBorders>
            <w:hideMark/>
          </w:tcPr>
          <w:p w:rsidR="007461C2" w:rsidRPr="002F1956" w:rsidRDefault="007461C2" w:rsidP="00FC50AD">
            <w:pPr>
              <w:rPr>
                <w:rFonts w:asciiTheme="minorHAnsi" w:hAnsiTheme="minorHAnsi" w:cs="Mangal"/>
                <w:sz w:val="22"/>
              </w:rPr>
            </w:pPr>
            <w:r w:rsidRPr="002F1956">
              <w:rPr>
                <w:rFonts w:asciiTheme="minorHAnsi" w:hAnsiTheme="minorHAnsi" w:cs="Mangal"/>
                <w:sz w:val="22"/>
              </w:rPr>
              <w:t>Klasse</w:t>
            </w:r>
          </w:p>
        </w:tc>
        <w:tc>
          <w:tcPr>
            <w:tcW w:w="4492" w:type="dxa"/>
            <w:tcBorders>
              <w:top w:val="single" w:sz="4" w:space="0" w:color="auto"/>
              <w:left w:val="single" w:sz="4" w:space="0" w:color="auto"/>
              <w:bottom w:val="single" w:sz="4" w:space="0" w:color="auto"/>
              <w:right w:val="single" w:sz="4" w:space="0" w:color="auto"/>
            </w:tcBorders>
            <w:hideMark/>
          </w:tcPr>
          <w:p w:rsidR="007461C2" w:rsidRPr="002F1956" w:rsidRDefault="007461C2" w:rsidP="00FC50AD">
            <w:pPr>
              <w:rPr>
                <w:rFonts w:asciiTheme="minorHAnsi" w:hAnsiTheme="minorHAnsi" w:cs="Mangal"/>
                <w:sz w:val="22"/>
              </w:rPr>
            </w:pPr>
            <w:r w:rsidRPr="002F1956">
              <w:rPr>
                <w:rFonts w:asciiTheme="minorHAnsi" w:hAnsiTheme="minorHAnsi" w:cs="Mangal"/>
                <w:sz w:val="22"/>
              </w:rPr>
              <w:t>Basisprincipes</w:t>
            </w:r>
          </w:p>
        </w:tc>
        <w:tc>
          <w:tcPr>
            <w:tcW w:w="2646" w:type="dxa"/>
            <w:tcBorders>
              <w:top w:val="single" w:sz="4" w:space="0" w:color="auto"/>
              <w:left w:val="single" w:sz="4" w:space="0" w:color="auto"/>
              <w:bottom w:val="single" w:sz="4" w:space="0" w:color="auto"/>
              <w:right w:val="single" w:sz="4" w:space="0" w:color="auto"/>
            </w:tcBorders>
            <w:hideMark/>
          </w:tcPr>
          <w:p w:rsidR="007461C2" w:rsidRPr="002F1956" w:rsidRDefault="007461C2" w:rsidP="00FC50AD">
            <w:pPr>
              <w:rPr>
                <w:rFonts w:asciiTheme="minorHAnsi" w:hAnsiTheme="minorHAnsi" w:cs="Mangal"/>
                <w:sz w:val="22"/>
              </w:rPr>
            </w:pPr>
            <w:r w:rsidRPr="002F1956">
              <w:rPr>
                <w:rFonts w:asciiTheme="minorHAnsi" w:hAnsiTheme="minorHAnsi" w:cs="Mangal"/>
                <w:sz w:val="22"/>
              </w:rPr>
              <w:t>Beveiligingsniveau</w:t>
            </w:r>
          </w:p>
        </w:tc>
      </w:tr>
      <w:tr w:rsidR="007461C2" w:rsidRPr="002F1956" w:rsidTr="007B29E3">
        <w:tc>
          <w:tcPr>
            <w:tcW w:w="2150" w:type="dxa"/>
            <w:tcBorders>
              <w:top w:val="single" w:sz="4" w:space="0" w:color="auto"/>
              <w:left w:val="single" w:sz="4" w:space="0" w:color="auto"/>
              <w:bottom w:val="single" w:sz="4" w:space="0" w:color="auto"/>
              <w:right w:val="single" w:sz="4" w:space="0" w:color="auto"/>
            </w:tcBorders>
            <w:hideMark/>
          </w:tcPr>
          <w:p w:rsidR="007461C2" w:rsidRPr="002F1956" w:rsidRDefault="002A0E5E" w:rsidP="00FC50AD">
            <w:pPr>
              <w:rPr>
                <w:rFonts w:asciiTheme="minorHAnsi" w:hAnsiTheme="minorHAnsi" w:cs="Mangal"/>
                <w:sz w:val="22"/>
              </w:rPr>
            </w:pPr>
            <w:r>
              <w:rPr>
                <w:rFonts w:asciiTheme="minorHAnsi" w:hAnsiTheme="minorHAnsi" w:cs="Mangal"/>
                <w:sz w:val="22"/>
              </w:rPr>
              <w:t>LAAG</w:t>
            </w:r>
            <w:r w:rsidR="00D15DB0">
              <w:rPr>
                <w:rFonts w:asciiTheme="minorHAnsi" w:hAnsiTheme="minorHAnsi" w:cs="Mangal"/>
                <w:sz w:val="22"/>
              </w:rPr>
              <w:t xml:space="preserve"> (</w:t>
            </w:r>
            <w:r w:rsidR="007461C2" w:rsidRPr="002F1956">
              <w:rPr>
                <w:rFonts w:asciiTheme="minorHAnsi" w:hAnsiTheme="minorHAnsi" w:cs="Mangal"/>
                <w:sz w:val="22"/>
              </w:rPr>
              <w:t>Niet vitaal</w:t>
            </w:r>
            <w:r w:rsidR="00D15DB0">
              <w:rPr>
                <w:rFonts w:asciiTheme="minorHAnsi" w:hAnsiTheme="minorHAnsi" w:cs="Mangal"/>
                <w:sz w:val="22"/>
              </w:rPr>
              <w:t>)</w:t>
            </w:r>
          </w:p>
        </w:tc>
        <w:tc>
          <w:tcPr>
            <w:tcW w:w="4492" w:type="dxa"/>
            <w:tcBorders>
              <w:top w:val="single" w:sz="4" w:space="0" w:color="auto"/>
              <w:left w:val="single" w:sz="4" w:space="0" w:color="auto"/>
              <w:bottom w:val="single" w:sz="4" w:space="0" w:color="auto"/>
              <w:right w:val="single" w:sz="4" w:space="0" w:color="auto"/>
            </w:tcBorders>
            <w:hideMark/>
          </w:tcPr>
          <w:p w:rsidR="007461C2" w:rsidRPr="002F1956" w:rsidRDefault="007461C2" w:rsidP="00FC50AD">
            <w:pPr>
              <w:rPr>
                <w:rFonts w:asciiTheme="minorHAnsi" w:hAnsiTheme="minorHAnsi" w:cs="Mangal"/>
                <w:sz w:val="22"/>
              </w:rPr>
            </w:pPr>
            <w:r w:rsidRPr="002F1956">
              <w:rPr>
                <w:rFonts w:asciiTheme="minorHAnsi" w:hAnsiTheme="minorHAnsi" w:cs="Mangal"/>
                <w:sz w:val="22"/>
              </w:rPr>
              <w:t>algeheel verlies of niet beschikbaar zijn van deze informatie gedurende langer dan 1 week brengt geen merkbare (meetbare) sc</w:t>
            </w:r>
            <w:r w:rsidR="004B27E5">
              <w:rPr>
                <w:rFonts w:asciiTheme="minorHAnsi" w:hAnsiTheme="minorHAnsi" w:cs="Mangal"/>
                <w:sz w:val="22"/>
              </w:rPr>
              <w:t xml:space="preserve">hade toe aan de belangen van </w:t>
            </w:r>
            <w:r w:rsidR="00C355C0">
              <w:rPr>
                <w:rFonts w:asciiTheme="minorHAnsi" w:hAnsiTheme="minorHAnsi" w:cs="Mangal"/>
                <w:sz w:val="22"/>
              </w:rPr>
              <w:t>ketenpartijen</w:t>
            </w:r>
            <w:r w:rsidRPr="002F1956">
              <w:rPr>
                <w:rFonts w:asciiTheme="minorHAnsi" w:hAnsiTheme="minorHAnsi" w:cs="Mangal"/>
                <w:sz w:val="22"/>
              </w:rPr>
              <w:t xml:space="preserve">, </w:t>
            </w:r>
            <w:r w:rsidR="00C355C0">
              <w:rPr>
                <w:rFonts w:asciiTheme="minorHAnsi" w:hAnsiTheme="minorHAnsi" w:cs="Mangal"/>
                <w:sz w:val="22"/>
              </w:rPr>
              <w:t xml:space="preserve">hun </w:t>
            </w:r>
            <w:r w:rsidRPr="002F1956">
              <w:rPr>
                <w:rFonts w:asciiTheme="minorHAnsi" w:hAnsiTheme="minorHAnsi" w:cs="Mangal"/>
                <w:sz w:val="22"/>
              </w:rPr>
              <w:t xml:space="preserve">medewerkers of </w:t>
            </w:r>
            <w:r w:rsidR="00C355C0">
              <w:rPr>
                <w:rFonts w:asciiTheme="minorHAnsi" w:hAnsiTheme="minorHAnsi" w:cs="Mangal"/>
                <w:sz w:val="22"/>
              </w:rPr>
              <w:t>hun</w:t>
            </w:r>
            <w:r w:rsidRPr="002F1956">
              <w:rPr>
                <w:rFonts w:asciiTheme="minorHAnsi" w:hAnsiTheme="minorHAnsi" w:cs="Mangal"/>
                <w:sz w:val="22"/>
              </w:rPr>
              <w:t xml:space="preserve"> klanten</w:t>
            </w:r>
          </w:p>
        </w:tc>
        <w:tc>
          <w:tcPr>
            <w:tcW w:w="2646" w:type="dxa"/>
            <w:tcBorders>
              <w:top w:val="single" w:sz="4" w:space="0" w:color="auto"/>
              <w:left w:val="single" w:sz="4" w:space="0" w:color="auto"/>
              <w:bottom w:val="single" w:sz="4" w:space="0" w:color="auto"/>
              <w:right w:val="single" w:sz="4" w:space="0" w:color="auto"/>
            </w:tcBorders>
            <w:hideMark/>
          </w:tcPr>
          <w:p w:rsidR="007461C2" w:rsidRDefault="007461C2" w:rsidP="00FC50AD">
            <w:pPr>
              <w:rPr>
                <w:rFonts w:asciiTheme="minorHAnsi" w:hAnsiTheme="minorHAnsi" w:cs="Mangal"/>
                <w:sz w:val="22"/>
              </w:rPr>
            </w:pPr>
            <w:r w:rsidRPr="002F1956">
              <w:rPr>
                <w:rFonts w:asciiTheme="minorHAnsi" w:hAnsiTheme="minorHAnsi" w:cs="Mangal"/>
                <w:sz w:val="22"/>
              </w:rPr>
              <w:t>Basisbescherming</w:t>
            </w:r>
            <w:r>
              <w:rPr>
                <w:rFonts w:asciiTheme="minorHAnsi" w:hAnsiTheme="minorHAnsi" w:cs="Mangal"/>
                <w:sz w:val="22"/>
              </w:rPr>
              <w:t xml:space="preserve"> </w:t>
            </w:r>
          </w:p>
          <w:p w:rsidR="007461C2" w:rsidRPr="002F1956" w:rsidRDefault="007461C2" w:rsidP="00FC50AD">
            <w:pPr>
              <w:rPr>
                <w:rFonts w:asciiTheme="minorHAnsi" w:hAnsiTheme="minorHAnsi" w:cs="Mangal"/>
                <w:sz w:val="22"/>
              </w:rPr>
            </w:pPr>
            <w:r>
              <w:rPr>
                <w:rFonts w:asciiTheme="minorHAnsi" w:hAnsiTheme="minorHAnsi" w:cs="Mangal"/>
                <w:sz w:val="22"/>
              </w:rPr>
              <w:t>(Laag)</w:t>
            </w:r>
          </w:p>
        </w:tc>
      </w:tr>
      <w:tr w:rsidR="007461C2" w:rsidRPr="002F1956" w:rsidTr="007B29E3">
        <w:tc>
          <w:tcPr>
            <w:tcW w:w="2150" w:type="dxa"/>
            <w:tcBorders>
              <w:top w:val="single" w:sz="4" w:space="0" w:color="auto"/>
              <w:left w:val="single" w:sz="4" w:space="0" w:color="auto"/>
              <w:bottom w:val="single" w:sz="4" w:space="0" w:color="auto"/>
              <w:right w:val="single" w:sz="4" w:space="0" w:color="auto"/>
            </w:tcBorders>
            <w:hideMark/>
          </w:tcPr>
          <w:p w:rsidR="007461C2" w:rsidRPr="002F1956" w:rsidRDefault="00D15DB0" w:rsidP="00FC50AD">
            <w:pPr>
              <w:rPr>
                <w:rFonts w:asciiTheme="minorHAnsi" w:hAnsiTheme="minorHAnsi" w:cs="Mangal"/>
                <w:sz w:val="22"/>
              </w:rPr>
            </w:pPr>
            <w:r>
              <w:rPr>
                <w:rFonts w:asciiTheme="minorHAnsi" w:hAnsiTheme="minorHAnsi" w:cs="Mangal"/>
                <w:sz w:val="22"/>
              </w:rPr>
              <w:t>MIDDEN (</w:t>
            </w:r>
            <w:r w:rsidR="007461C2" w:rsidRPr="002F1956">
              <w:rPr>
                <w:rFonts w:asciiTheme="minorHAnsi" w:hAnsiTheme="minorHAnsi" w:cs="Mangal"/>
                <w:sz w:val="22"/>
              </w:rPr>
              <w:t>Vitaal</w:t>
            </w:r>
            <w:r>
              <w:rPr>
                <w:rFonts w:asciiTheme="minorHAnsi" w:hAnsiTheme="minorHAnsi" w:cs="Mangal"/>
                <w:sz w:val="22"/>
              </w:rPr>
              <w:t>)</w:t>
            </w:r>
          </w:p>
        </w:tc>
        <w:tc>
          <w:tcPr>
            <w:tcW w:w="4492" w:type="dxa"/>
            <w:tcBorders>
              <w:top w:val="single" w:sz="4" w:space="0" w:color="auto"/>
              <w:left w:val="single" w:sz="4" w:space="0" w:color="auto"/>
              <w:bottom w:val="single" w:sz="4" w:space="0" w:color="auto"/>
              <w:right w:val="single" w:sz="4" w:space="0" w:color="auto"/>
            </w:tcBorders>
            <w:hideMark/>
          </w:tcPr>
          <w:p w:rsidR="007461C2" w:rsidRPr="002F1956" w:rsidRDefault="007461C2" w:rsidP="00FC50AD">
            <w:pPr>
              <w:rPr>
                <w:rFonts w:asciiTheme="minorHAnsi" w:hAnsiTheme="minorHAnsi" w:cs="Mangal"/>
                <w:sz w:val="22"/>
              </w:rPr>
            </w:pPr>
            <w:r w:rsidRPr="002F1956">
              <w:rPr>
                <w:rFonts w:asciiTheme="minorHAnsi" w:hAnsiTheme="minorHAnsi" w:cs="Mangal"/>
                <w:sz w:val="22"/>
              </w:rPr>
              <w:t>algeheel verlies of niet beschikbaar zijn van deze informatie gedurende langer dan 1 week brengt merkbare s</w:t>
            </w:r>
            <w:r w:rsidR="004B27E5">
              <w:rPr>
                <w:rFonts w:asciiTheme="minorHAnsi" w:hAnsiTheme="minorHAnsi" w:cs="Mangal"/>
                <w:sz w:val="22"/>
              </w:rPr>
              <w:t>chade toe aan de belangen van ketenpartijen</w:t>
            </w:r>
            <w:r w:rsidRPr="002F1956">
              <w:rPr>
                <w:rFonts w:asciiTheme="minorHAnsi" w:hAnsiTheme="minorHAnsi" w:cs="Mangal"/>
                <w:sz w:val="22"/>
              </w:rPr>
              <w:t xml:space="preserve">, </w:t>
            </w:r>
            <w:r w:rsidR="004B27E5">
              <w:rPr>
                <w:rFonts w:asciiTheme="minorHAnsi" w:hAnsiTheme="minorHAnsi" w:cs="Mangal"/>
                <w:sz w:val="22"/>
              </w:rPr>
              <w:t xml:space="preserve">hun </w:t>
            </w:r>
            <w:r w:rsidRPr="002F1956">
              <w:rPr>
                <w:rFonts w:asciiTheme="minorHAnsi" w:hAnsiTheme="minorHAnsi" w:cs="Mangal"/>
                <w:sz w:val="22"/>
              </w:rPr>
              <w:t xml:space="preserve">medewerkers of </w:t>
            </w:r>
            <w:r w:rsidR="004B27E5">
              <w:rPr>
                <w:rFonts w:asciiTheme="minorHAnsi" w:hAnsiTheme="minorHAnsi" w:cs="Mangal"/>
                <w:sz w:val="22"/>
              </w:rPr>
              <w:t xml:space="preserve">hun </w:t>
            </w:r>
            <w:r w:rsidRPr="002F1956">
              <w:rPr>
                <w:rFonts w:asciiTheme="minorHAnsi" w:hAnsiTheme="minorHAnsi" w:cs="Mangal"/>
                <w:sz w:val="22"/>
              </w:rPr>
              <w:t>klanten</w:t>
            </w:r>
          </w:p>
        </w:tc>
        <w:tc>
          <w:tcPr>
            <w:tcW w:w="2646" w:type="dxa"/>
            <w:tcBorders>
              <w:top w:val="single" w:sz="4" w:space="0" w:color="auto"/>
              <w:left w:val="single" w:sz="4" w:space="0" w:color="auto"/>
              <w:bottom w:val="single" w:sz="4" w:space="0" w:color="auto"/>
              <w:right w:val="single" w:sz="4" w:space="0" w:color="auto"/>
            </w:tcBorders>
            <w:hideMark/>
          </w:tcPr>
          <w:p w:rsidR="007461C2" w:rsidRDefault="007461C2" w:rsidP="00FC50AD">
            <w:pPr>
              <w:rPr>
                <w:rFonts w:asciiTheme="minorHAnsi" w:hAnsiTheme="minorHAnsi" w:cs="Mangal"/>
                <w:sz w:val="22"/>
              </w:rPr>
            </w:pPr>
            <w:r w:rsidRPr="002F1956">
              <w:rPr>
                <w:rFonts w:asciiTheme="minorHAnsi" w:hAnsiTheme="minorHAnsi" w:cs="Mangal"/>
                <w:sz w:val="22"/>
              </w:rPr>
              <w:t>Basisbescherming +</w:t>
            </w:r>
          </w:p>
          <w:p w:rsidR="007461C2" w:rsidRPr="002F1956" w:rsidRDefault="007461C2" w:rsidP="00FC50AD">
            <w:pPr>
              <w:rPr>
                <w:rFonts w:asciiTheme="minorHAnsi" w:hAnsiTheme="minorHAnsi" w:cs="Mangal"/>
                <w:sz w:val="22"/>
              </w:rPr>
            </w:pPr>
            <w:r>
              <w:rPr>
                <w:rFonts w:asciiTheme="minorHAnsi" w:hAnsiTheme="minorHAnsi" w:cs="Mangal"/>
                <w:sz w:val="22"/>
              </w:rPr>
              <w:t>(Midden)</w:t>
            </w:r>
          </w:p>
        </w:tc>
      </w:tr>
      <w:tr w:rsidR="007461C2" w:rsidRPr="002F1956" w:rsidTr="007B29E3">
        <w:tc>
          <w:tcPr>
            <w:tcW w:w="2150" w:type="dxa"/>
            <w:tcBorders>
              <w:top w:val="single" w:sz="4" w:space="0" w:color="auto"/>
              <w:left w:val="single" w:sz="4" w:space="0" w:color="auto"/>
              <w:bottom w:val="single" w:sz="4" w:space="0" w:color="auto"/>
              <w:right w:val="single" w:sz="4" w:space="0" w:color="auto"/>
            </w:tcBorders>
            <w:hideMark/>
          </w:tcPr>
          <w:p w:rsidR="007461C2" w:rsidRPr="002F1956" w:rsidRDefault="002A0E5E" w:rsidP="00FC50AD">
            <w:pPr>
              <w:rPr>
                <w:rFonts w:asciiTheme="minorHAnsi" w:hAnsiTheme="minorHAnsi" w:cs="Mangal"/>
                <w:sz w:val="22"/>
              </w:rPr>
            </w:pPr>
            <w:r>
              <w:rPr>
                <w:rFonts w:asciiTheme="minorHAnsi" w:hAnsiTheme="minorHAnsi" w:cs="Mangal"/>
                <w:sz w:val="22"/>
              </w:rPr>
              <w:t>HOOG</w:t>
            </w:r>
            <w:r w:rsidR="00D15DB0">
              <w:rPr>
                <w:rFonts w:asciiTheme="minorHAnsi" w:hAnsiTheme="minorHAnsi" w:cs="Mangal"/>
                <w:sz w:val="22"/>
              </w:rPr>
              <w:t xml:space="preserve"> (</w:t>
            </w:r>
            <w:r w:rsidR="007461C2" w:rsidRPr="002F1956">
              <w:rPr>
                <w:rFonts w:asciiTheme="minorHAnsi" w:hAnsiTheme="minorHAnsi" w:cs="Mangal"/>
                <w:sz w:val="22"/>
              </w:rPr>
              <w:t>Zeer vitaal</w:t>
            </w:r>
            <w:r w:rsidR="00D15DB0">
              <w:rPr>
                <w:rFonts w:asciiTheme="minorHAnsi" w:hAnsiTheme="minorHAnsi" w:cs="Mangal"/>
                <w:sz w:val="22"/>
              </w:rPr>
              <w:t>)</w:t>
            </w:r>
          </w:p>
        </w:tc>
        <w:tc>
          <w:tcPr>
            <w:tcW w:w="4492" w:type="dxa"/>
            <w:tcBorders>
              <w:top w:val="single" w:sz="4" w:space="0" w:color="auto"/>
              <w:left w:val="single" w:sz="4" w:space="0" w:color="auto"/>
              <w:bottom w:val="single" w:sz="4" w:space="0" w:color="auto"/>
              <w:right w:val="single" w:sz="4" w:space="0" w:color="auto"/>
            </w:tcBorders>
            <w:hideMark/>
          </w:tcPr>
          <w:p w:rsidR="007461C2" w:rsidRPr="002F1956" w:rsidRDefault="007461C2" w:rsidP="00FC50AD">
            <w:pPr>
              <w:rPr>
                <w:rFonts w:asciiTheme="minorHAnsi" w:hAnsiTheme="minorHAnsi" w:cs="Mangal"/>
                <w:sz w:val="22"/>
              </w:rPr>
            </w:pPr>
            <w:r w:rsidRPr="002F1956">
              <w:rPr>
                <w:rFonts w:asciiTheme="minorHAnsi" w:hAnsiTheme="minorHAnsi" w:cs="Mangal"/>
                <w:sz w:val="22"/>
              </w:rPr>
              <w:t xml:space="preserve">algeheel verlies of niet beschikbaar zijn van </w:t>
            </w:r>
            <w:r w:rsidRPr="002F1956">
              <w:rPr>
                <w:rFonts w:asciiTheme="minorHAnsi" w:hAnsiTheme="minorHAnsi" w:cs="Mangal"/>
                <w:sz w:val="22"/>
              </w:rPr>
              <w:lastRenderedPageBreak/>
              <w:t xml:space="preserve">deze informatie gedurende langer dan 1 etmaal brengt merkbare schade toe aan de belangen van </w:t>
            </w:r>
            <w:r w:rsidR="00221E65">
              <w:rPr>
                <w:rFonts w:asciiTheme="minorHAnsi" w:hAnsiTheme="minorHAnsi" w:cs="Mangal"/>
                <w:sz w:val="22"/>
              </w:rPr>
              <w:t>ketenpartijen</w:t>
            </w:r>
            <w:r w:rsidRPr="002F1956">
              <w:rPr>
                <w:rFonts w:asciiTheme="minorHAnsi" w:hAnsiTheme="minorHAnsi" w:cs="Mangal"/>
                <w:sz w:val="22"/>
              </w:rPr>
              <w:t xml:space="preserve">, </w:t>
            </w:r>
            <w:r w:rsidR="00221E65">
              <w:rPr>
                <w:rFonts w:asciiTheme="minorHAnsi" w:hAnsiTheme="minorHAnsi" w:cs="Mangal"/>
                <w:sz w:val="22"/>
              </w:rPr>
              <w:t xml:space="preserve">hun </w:t>
            </w:r>
            <w:r w:rsidRPr="002F1956">
              <w:rPr>
                <w:rFonts w:asciiTheme="minorHAnsi" w:hAnsiTheme="minorHAnsi" w:cs="Mangal"/>
                <w:sz w:val="22"/>
              </w:rPr>
              <w:t xml:space="preserve">medewerkers of </w:t>
            </w:r>
            <w:r w:rsidR="00221E65">
              <w:rPr>
                <w:rFonts w:asciiTheme="minorHAnsi" w:hAnsiTheme="minorHAnsi" w:cs="Mangal"/>
                <w:sz w:val="22"/>
              </w:rPr>
              <w:t xml:space="preserve">hun </w:t>
            </w:r>
            <w:r w:rsidRPr="002F1956">
              <w:rPr>
                <w:rFonts w:asciiTheme="minorHAnsi" w:hAnsiTheme="minorHAnsi" w:cs="Mangal"/>
                <w:sz w:val="22"/>
              </w:rPr>
              <w:t>klanten</w:t>
            </w:r>
          </w:p>
        </w:tc>
        <w:tc>
          <w:tcPr>
            <w:tcW w:w="2646" w:type="dxa"/>
            <w:tcBorders>
              <w:top w:val="single" w:sz="4" w:space="0" w:color="auto"/>
              <w:left w:val="single" w:sz="4" w:space="0" w:color="auto"/>
              <w:bottom w:val="single" w:sz="4" w:space="0" w:color="auto"/>
              <w:right w:val="single" w:sz="4" w:space="0" w:color="auto"/>
            </w:tcBorders>
            <w:hideMark/>
          </w:tcPr>
          <w:p w:rsidR="007461C2" w:rsidRDefault="007461C2" w:rsidP="00FC50AD">
            <w:pPr>
              <w:rPr>
                <w:rFonts w:asciiTheme="minorHAnsi" w:hAnsiTheme="minorHAnsi" w:cs="Mangal"/>
                <w:sz w:val="22"/>
              </w:rPr>
            </w:pPr>
            <w:r w:rsidRPr="002F1956">
              <w:rPr>
                <w:rFonts w:asciiTheme="minorHAnsi" w:hAnsiTheme="minorHAnsi" w:cs="Mangal"/>
                <w:sz w:val="22"/>
              </w:rPr>
              <w:lastRenderedPageBreak/>
              <w:t>Basisbescherming ++</w:t>
            </w:r>
            <w:r>
              <w:rPr>
                <w:rFonts w:asciiTheme="minorHAnsi" w:hAnsiTheme="minorHAnsi" w:cs="Mangal"/>
                <w:sz w:val="22"/>
              </w:rPr>
              <w:t xml:space="preserve"> </w:t>
            </w:r>
          </w:p>
          <w:p w:rsidR="007461C2" w:rsidRPr="002F1956" w:rsidRDefault="007461C2" w:rsidP="00FC50AD">
            <w:pPr>
              <w:rPr>
                <w:rFonts w:asciiTheme="minorHAnsi" w:hAnsiTheme="minorHAnsi" w:cs="Mangal"/>
                <w:sz w:val="22"/>
              </w:rPr>
            </w:pPr>
            <w:r>
              <w:rPr>
                <w:rFonts w:asciiTheme="minorHAnsi" w:hAnsiTheme="minorHAnsi" w:cs="Mangal"/>
                <w:sz w:val="22"/>
              </w:rPr>
              <w:lastRenderedPageBreak/>
              <w:t>(Hoog)</w:t>
            </w:r>
          </w:p>
        </w:tc>
      </w:tr>
    </w:tbl>
    <w:p w:rsidR="007461C2" w:rsidRPr="002F1956" w:rsidRDefault="007461C2" w:rsidP="00FC50AD">
      <w:pPr>
        <w:spacing w:after="0" w:line="260" w:lineRule="atLeast"/>
        <w:rPr>
          <w:szCs w:val="20"/>
          <w:lang w:eastAsia="en-US"/>
        </w:rPr>
      </w:pPr>
    </w:p>
    <w:p w:rsidR="007461C2" w:rsidRPr="002F1956" w:rsidRDefault="007461C2" w:rsidP="00FC50AD">
      <w:pPr>
        <w:spacing w:after="0" w:line="260" w:lineRule="atLeast"/>
        <w:rPr>
          <w:rFonts w:cs="Mangal"/>
          <w:szCs w:val="20"/>
        </w:rPr>
      </w:pPr>
      <w:r w:rsidRPr="002F1956">
        <w:rPr>
          <w:rFonts w:cs="Mangal"/>
          <w:szCs w:val="20"/>
        </w:rPr>
        <w:t xml:space="preserve">Voor </w:t>
      </w:r>
      <w:r w:rsidRPr="002F1956">
        <w:rPr>
          <w:rFonts w:cs="Mangal"/>
          <w:b/>
          <w:szCs w:val="20"/>
        </w:rPr>
        <w:t>integriteit</w:t>
      </w:r>
      <w:r w:rsidRPr="002F1956">
        <w:rPr>
          <w:rFonts w:cs="Mangal"/>
          <w:szCs w:val="20"/>
        </w:rPr>
        <w:t xml:space="preserve"> en </w:t>
      </w:r>
      <w:r w:rsidRPr="002F1956">
        <w:rPr>
          <w:rFonts w:cs="Mangal"/>
          <w:b/>
          <w:szCs w:val="20"/>
        </w:rPr>
        <w:t>vertrouwelijkheid</w:t>
      </w:r>
      <w:r w:rsidRPr="002F1956">
        <w:rPr>
          <w:rFonts w:cs="Mangal"/>
          <w:szCs w:val="20"/>
        </w:rPr>
        <w:t xml:space="preserve"> worden de volgende indeling gevolgd.</w:t>
      </w:r>
    </w:p>
    <w:p w:rsidR="007461C2" w:rsidRPr="002F1956" w:rsidRDefault="007461C2" w:rsidP="00FC50AD">
      <w:pPr>
        <w:spacing w:after="0" w:line="260" w:lineRule="atLeast"/>
        <w:rPr>
          <w:rFonts w:cs="Mangal"/>
          <w:szCs w:val="20"/>
        </w:rPr>
      </w:pPr>
      <w:r w:rsidRPr="002F1956">
        <w:rPr>
          <w:rFonts w:cs="Mangal"/>
          <w:szCs w:val="20"/>
        </w:rPr>
        <w:tab/>
      </w:r>
    </w:p>
    <w:tbl>
      <w:tblPr>
        <w:tblStyle w:val="Tabelraster"/>
        <w:tblW w:w="0" w:type="auto"/>
        <w:tblLook w:val="04A0" w:firstRow="1" w:lastRow="0" w:firstColumn="1" w:lastColumn="0" w:noHBand="0" w:noVBand="1"/>
      </w:tblPr>
      <w:tblGrid>
        <w:gridCol w:w="2006"/>
        <w:gridCol w:w="4638"/>
        <w:gridCol w:w="2644"/>
      </w:tblGrid>
      <w:tr w:rsidR="007461C2" w:rsidRPr="002F1956" w:rsidTr="007B29E3">
        <w:tc>
          <w:tcPr>
            <w:tcW w:w="2043" w:type="dxa"/>
            <w:tcBorders>
              <w:top w:val="single" w:sz="4" w:space="0" w:color="auto"/>
              <w:left w:val="single" w:sz="4" w:space="0" w:color="auto"/>
              <w:bottom w:val="single" w:sz="4" w:space="0" w:color="auto"/>
              <w:right w:val="single" w:sz="4" w:space="0" w:color="auto"/>
            </w:tcBorders>
            <w:hideMark/>
          </w:tcPr>
          <w:p w:rsidR="007461C2" w:rsidRPr="002F1956" w:rsidRDefault="007461C2" w:rsidP="00FC50AD">
            <w:pPr>
              <w:rPr>
                <w:rFonts w:asciiTheme="minorHAnsi" w:hAnsiTheme="minorHAnsi" w:cs="Mangal"/>
                <w:sz w:val="22"/>
              </w:rPr>
            </w:pPr>
            <w:r w:rsidRPr="002F1956">
              <w:rPr>
                <w:rFonts w:asciiTheme="minorHAnsi" w:hAnsiTheme="minorHAnsi" w:cs="Mangal"/>
                <w:sz w:val="22"/>
              </w:rPr>
              <w:t>Klasse</w:t>
            </w:r>
          </w:p>
        </w:tc>
        <w:tc>
          <w:tcPr>
            <w:tcW w:w="4869" w:type="dxa"/>
            <w:tcBorders>
              <w:top w:val="single" w:sz="4" w:space="0" w:color="auto"/>
              <w:left w:val="single" w:sz="4" w:space="0" w:color="auto"/>
              <w:bottom w:val="single" w:sz="4" w:space="0" w:color="auto"/>
              <w:right w:val="single" w:sz="4" w:space="0" w:color="auto"/>
            </w:tcBorders>
            <w:hideMark/>
          </w:tcPr>
          <w:p w:rsidR="007461C2" w:rsidRPr="002F1956" w:rsidRDefault="007461C2" w:rsidP="00FC50AD">
            <w:pPr>
              <w:rPr>
                <w:rFonts w:asciiTheme="minorHAnsi" w:hAnsiTheme="minorHAnsi" w:cs="Mangal"/>
                <w:sz w:val="22"/>
              </w:rPr>
            </w:pPr>
            <w:r w:rsidRPr="002F1956">
              <w:rPr>
                <w:rFonts w:asciiTheme="minorHAnsi" w:hAnsiTheme="minorHAnsi" w:cs="Mangal"/>
                <w:sz w:val="22"/>
              </w:rPr>
              <w:t>Basisprincipes</w:t>
            </w:r>
          </w:p>
        </w:tc>
        <w:tc>
          <w:tcPr>
            <w:tcW w:w="2710" w:type="dxa"/>
            <w:tcBorders>
              <w:top w:val="single" w:sz="4" w:space="0" w:color="auto"/>
              <w:left w:val="single" w:sz="4" w:space="0" w:color="auto"/>
              <w:bottom w:val="single" w:sz="4" w:space="0" w:color="auto"/>
              <w:right w:val="single" w:sz="4" w:space="0" w:color="auto"/>
            </w:tcBorders>
            <w:hideMark/>
          </w:tcPr>
          <w:p w:rsidR="007461C2" w:rsidRPr="002F1956" w:rsidRDefault="007461C2" w:rsidP="00FC50AD">
            <w:pPr>
              <w:rPr>
                <w:rFonts w:asciiTheme="minorHAnsi" w:hAnsiTheme="minorHAnsi"/>
                <w:sz w:val="22"/>
              </w:rPr>
            </w:pPr>
            <w:r w:rsidRPr="002F1956">
              <w:rPr>
                <w:rFonts w:asciiTheme="minorHAnsi" w:hAnsiTheme="minorHAnsi"/>
                <w:sz w:val="22"/>
              </w:rPr>
              <w:t>Beveiligingsniveau</w:t>
            </w:r>
          </w:p>
        </w:tc>
      </w:tr>
      <w:tr w:rsidR="007461C2" w:rsidRPr="002F1956" w:rsidTr="007B29E3">
        <w:tc>
          <w:tcPr>
            <w:tcW w:w="2043" w:type="dxa"/>
            <w:tcBorders>
              <w:top w:val="single" w:sz="4" w:space="0" w:color="auto"/>
              <w:left w:val="single" w:sz="4" w:space="0" w:color="auto"/>
              <w:bottom w:val="single" w:sz="4" w:space="0" w:color="auto"/>
              <w:right w:val="single" w:sz="4" w:space="0" w:color="auto"/>
            </w:tcBorders>
            <w:hideMark/>
          </w:tcPr>
          <w:p w:rsidR="007461C2" w:rsidRPr="002F1956" w:rsidRDefault="001D407B" w:rsidP="00FC50AD">
            <w:pPr>
              <w:rPr>
                <w:rFonts w:asciiTheme="minorHAnsi" w:hAnsiTheme="minorHAnsi" w:cs="Mangal"/>
                <w:sz w:val="22"/>
              </w:rPr>
            </w:pPr>
            <w:r>
              <w:rPr>
                <w:rFonts w:asciiTheme="minorHAnsi" w:hAnsiTheme="minorHAnsi" w:cs="Mangal"/>
                <w:sz w:val="22"/>
              </w:rPr>
              <w:t>LAAG (</w:t>
            </w:r>
            <w:r w:rsidR="007461C2" w:rsidRPr="002F1956">
              <w:rPr>
                <w:rFonts w:asciiTheme="minorHAnsi" w:hAnsiTheme="minorHAnsi" w:cs="Mangal"/>
                <w:sz w:val="22"/>
              </w:rPr>
              <w:t>Openbaar</w:t>
            </w:r>
            <w:r>
              <w:rPr>
                <w:rFonts w:asciiTheme="minorHAnsi" w:hAnsiTheme="minorHAnsi" w:cs="Mangal"/>
                <w:sz w:val="22"/>
              </w:rPr>
              <w:t>)</w:t>
            </w:r>
          </w:p>
        </w:tc>
        <w:tc>
          <w:tcPr>
            <w:tcW w:w="4869" w:type="dxa"/>
            <w:tcBorders>
              <w:top w:val="single" w:sz="4" w:space="0" w:color="auto"/>
              <w:left w:val="single" w:sz="4" w:space="0" w:color="auto"/>
              <w:bottom w:val="single" w:sz="4" w:space="0" w:color="auto"/>
              <w:right w:val="single" w:sz="4" w:space="0" w:color="auto"/>
            </w:tcBorders>
            <w:hideMark/>
          </w:tcPr>
          <w:p w:rsidR="007461C2" w:rsidRPr="002F1956" w:rsidRDefault="007461C2" w:rsidP="00FC50AD">
            <w:pPr>
              <w:ind w:left="175" w:hanging="175"/>
              <w:rPr>
                <w:rFonts w:asciiTheme="minorHAnsi" w:hAnsiTheme="minorHAnsi" w:cs="Mangal"/>
                <w:sz w:val="22"/>
              </w:rPr>
            </w:pPr>
            <w:r w:rsidRPr="002F1956">
              <w:rPr>
                <w:rFonts w:asciiTheme="minorHAnsi" w:hAnsiTheme="minorHAnsi" w:cs="Mangal"/>
                <w:sz w:val="22"/>
              </w:rPr>
              <w:t xml:space="preserve">· Iedereen mag de gegevens inzien, bijvoorbeeld de website van een </w:t>
            </w:r>
            <w:r w:rsidR="00F63659">
              <w:rPr>
                <w:rFonts w:asciiTheme="minorHAnsi" w:hAnsiTheme="minorHAnsi" w:cs="Mangal"/>
                <w:sz w:val="22"/>
              </w:rPr>
              <w:t>onderwijs</w:t>
            </w:r>
            <w:r w:rsidRPr="002F1956">
              <w:rPr>
                <w:rFonts w:asciiTheme="minorHAnsi" w:hAnsiTheme="minorHAnsi" w:cs="Mangal"/>
                <w:sz w:val="22"/>
              </w:rPr>
              <w:t>instelling</w:t>
            </w:r>
          </w:p>
          <w:p w:rsidR="007461C2" w:rsidRPr="002F1956" w:rsidRDefault="007461C2" w:rsidP="00FC50AD">
            <w:pPr>
              <w:ind w:left="175" w:hanging="175"/>
              <w:rPr>
                <w:rFonts w:asciiTheme="minorHAnsi" w:hAnsiTheme="minorHAnsi" w:cs="Mangal"/>
                <w:sz w:val="22"/>
              </w:rPr>
            </w:pPr>
            <w:r w:rsidRPr="002F1956">
              <w:rPr>
                <w:rFonts w:asciiTheme="minorHAnsi" w:hAnsiTheme="minorHAnsi" w:cs="Mangal"/>
                <w:sz w:val="22"/>
              </w:rPr>
              <w:t>· Een geselecteerde groep mag deze gegevens wijzigen</w:t>
            </w:r>
          </w:p>
        </w:tc>
        <w:tc>
          <w:tcPr>
            <w:tcW w:w="2710" w:type="dxa"/>
            <w:tcBorders>
              <w:top w:val="single" w:sz="4" w:space="0" w:color="auto"/>
              <w:left w:val="single" w:sz="4" w:space="0" w:color="auto"/>
              <w:bottom w:val="single" w:sz="4" w:space="0" w:color="auto"/>
              <w:right w:val="single" w:sz="4" w:space="0" w:color="auto"/>
            </w:tcBorders>
            <w:hideMark/>
          </w:tcPr>
          <w:p w:rsidR="007461C2" w:rsidRPr="002F1956" w:rsidRDefault="007461C2" w:rsidP="00FC50AD">
            <w:pPr>
              <w:rPr>
                <w:rFonts w:asciiTheme="minorHAnsi" w:hAnsiTheme="minorHAnsi"/>
                <w:sz w:val="22"/>
              </w:rPr>
            </w:pPr>
            <w:r w:rsidRPr="002F1956">
              <w:rPr>
                <w:rFonts w:asciiTheme="minorHAnsi" w:hAnsiTheme="minorHAnsi"/>
                <w:sz w:val="22"/>
              </w:rPr>
              <w:t>Basisbescherming</w:t>
            </w:r>
          </w:p>
        </w:tc>
      </w:tr>
      <w:tr w:rsidR="007461C2" w:rsidRPr="002F1956" w:rsidTr="007B29E3">
        <w:tc>
          <w:tcPr>
            <w:tcW w:w="2043" w:type="dxa"/>
            <w:tcBorders>
              <w:top w:val="single" w:sz="4" w:space="0" w:color="auto"/>
              <w:left w:val="single" w:sz="4" w:space="0" w:color="auto"/>
              <w:bottom w:val="single" w:sz="4" w:space="0" w:color="auto"/>
              <w:right w:val="single" w:sz="4" w:space="0" w:color="auto"/>
            </w:tcBorders>
            <w:hideMark/>
          </w:tcPr>
          <w:p w:rsidR="007461C2" w:rsidRPr="002F1956" w:rsidRDefault="001D407B" w:rsidP="00FC50AD">
            <w:pPr>
              <w:rPr>
                <w:rFonts w:asciiTheme="minorHAnsi" w:hAnsiTheme="minorHAnsi" w:cs="Mangal"/>
                <w:sz w:val="22"/>
              </w:rPr>
            </w:pPr>
            <w:r>
              <w:rPr>
                <w:rFonts w:asciiTheme="minorHAnsi" w:hAnsiTheme="minorHAnsi" w:cs="Mangal"/>
                <w:sz w:val="22"/>
              </w:rPr>
              <w:t>MIDDEN (</w:t>
            </w:r>
            <w:r w:rsidR="007461C2" w:rsidRPr="002F1956">
              <w:rPr>
                <w:rFonts w:asciiTheme="minorHAnsi" w:hAnsiTheme="minorHAnsi" w:cs="Mangal"/>
                <w:sz w:val="22"/>
              </w:rPr>
              <w:t>Intern</w:t>
            </w:r>
            <w:r>
              <w:rPr>
                <w:rFonts w:asciiTheme="minorHAnsi" w:hAnsiTheme="minorHAnsi" w:cs="Mangal"/>
                <w:sz w:val="22"/>
              </w:rPr>
              <w:t>)</w:t>
            </w:r>
          </w:p>
        </w:tc>
        <w:tc>
          <w:tcPr>
            <w:tcW w:w="4869" w:type="dxa"/>
            <w:tcBorders>
              <w:top w:val="single" w:sz="4" w:space="0" w:color="auto"/>
              <w:left w:val="single" w:sz="4" w:space="0" w:color="auto"/>
              <w:bottom w:val="single" w:sz="4" w:space="0" w:color="auto"/>
              <w:right w:val="single" w:sz="4" w:space="0" w:color="auto"/>
            </w:tcBorders>
            <w:hideMark/>
          </w:tcPr>
          <w:p w:rsidR="007461C2" w:rsidRPr="002F1956" w:rsidRDefault="007461C2" w:rsidP="00FC50AD">
            <w:pPr>
              <w:ind w:left="175" w:hanging="175"/>
              <w:rPr>
                <w:rFonts w:asciiTheme="minorHAnsi" w:hAnsiTheme="minorHAnsi" w:cs="Mangal"/>
                <w:sz w:val="22"/>
              </w:rPr>
            </w:pPr>
            <w:r w:rsidRPr="002F1956">
              <w:rPr>
                <w:rFonts w:asciiTheme="minorHAnsi" w:hAnsiTheme="minorHAnsi" w:cs="Mangal"/>
                <w:sz w:val="22"/>
              </w:rPr>
              <w:t xml:space="preserve">· Iedereen die aan </w:t>
            </w:r>
            <w:r w:rsidR="00ED379E">
              <w:rPr>
                <w:rFonts w:asciiTheme="minorHAnsi" w:hAnsiTheme="minorHAnsi" w:cs="Mangal"/>
                <w:sz w:val="22"/>
              </w:rPr>
              <w:t>een</w:t>
            </w:r>
            <w:r w:rsidRPr="002F1956">
              <w:rPr>
                <w:rFonts w:asciiTheme="minorHAnsi" w:hAnsiTheme="minorHAnsi" w:cs="Mangal"/>
                <w:sz w:val="22"/>
              </w:rPr>
              <w:t xml:space="preserve"> instelling is verbonden als medewerker of student mag deze gegevens inzien; toegang kan zowel binnen als buiten de instelling (remote) worden verleend, bijvoorbeeld lesroosters of Elektronische leeromgeving</w:t>
            </w:r>
          </w:p>
          <w:p w:rsidR="007461C2" w:rsidRPr="002F1956" w:rsidRDefault="007461C2" w:rsidP="00FC50AD">
            <w:pPr>
              <w:ind w:left="175" w:hanging="175"/>
              <w:rPr>
                <w:rFonts w:asciiTheme="minorHAnsi" w:hAnsiTheme="minorHAnsi" w:cs="Mangal"/>
                <w:sz w:val="22"/>
              </w:rPr>
            </w:pPr>
            <w:r w:rsidRPr="002F1956">
              <w:rPr>
                <w:rFonts w:asciiTheme="minorHAnsi" w:hAnsiTheme="minorHAnsi" w:cs="Mangal"/>
                <w:sz w:val="22"/>
              </w:rPr>
              <w:t>· Een geselecteerde groep mag deze gegevens wijzigen</w:t>
            </w:r>
          </w:p>
        </w:tc>
        <w:tc>
          <w:tcPr>
            <w:tcW w:w="2710" w:type="dxa"/>
            <w:tcBorders>
              <w:top w:val="single" w:sz="4" w:space="0" w:color="auto"/>
              <w:left w:val="single" w:sz="4" w:space="0" w:color="auto"/>
              <w:bottom w:val="single" w:sz="4" w:space="0" w:color="auto"/>
              <w:right w:val="single" w:sz="4" w:space="0" w:color="auto"/>
            </w:tcBorders>
            <w:hideMark/>
          </w:tcPr>
          <w:p w:rsidR="007461C2" w:rsidRPr="002F1956" w:rsidRDefault="007461C2" w:rsidP="00FC50AD">
            <w:pPr>
              <w:rPr>
                <w:rFonts w:asciiTheme="minorHAnsi" w:hAnsiTheme="minorHAnsi"/>
                <w:sz w:val="22"/>
              </w:rPr>
            </w:pPr>
            <w:r w:rsidRPr="002F1956">
              <w:rPr>
                <w:rFonts w:asciiTheme="minorHAnsi" w:hAnsiTheme="minorHAnsi"/>
                <w:sz w:val="22"/>
              </w:rPr>
              <w:t xml:space="preserve">Basisbescherming </w:t>
            </w:r>
          </w:p>
        </w:tc>
      </w:tr>
      <w:tr w:rsidR="007461C2" w:rsidRPr="002F1956" w:rsidTr="007B29E3">
        <w:tc>
          <w:tcPr>
            <w:tcW w:w="2043" w:type="dxa"/>
            <w:tcBorders>
              <w:top w:val="single" w:sz="4" w:space="0" w:color="auto"/>
              <w:left w:val="single" w:sz="4" w:space="0" w:color="auto"/>
              <w:bottom w:val="single" w:sz="4" w:space="0" w:color="auto"/>
              <w:right w:val="single" w:sz="4" w:space="0" w:color="auto"/>
            </w:tcBorders>
            <w:hideMark/>
          </w:tcPr>
          <w:p w:rsidR="007461C2" w:rsidRPr="002F1956" w:rsidRDefault="001D407B" w:rsidP="00FC50AD">
            <w:pPr>
              <w:rPr>
                <w:rFonts w:asciiTheme="minorHAnsi" w:hAnsiTheme="minorHAnsi" w:cs="Mangal"/>
                <w:sz w:val="22"/>
              </w:rPr>
            </w:pPr>
            <w:r>
              <w:rPr>
                <w:rFonts w:asciiTheme="minorHAnsi" w:hAnsiTheme="minorHAnsi" w:cs="Mangal"/>
                <w:sz w:val="22"/>
              </w:rPr>
              <w:t>HOOG (</w:t>
            </w:r>
            <w:r w:rsidR="007461C2" w:rsidRPr="002F1956">
              <w:rPr>
                <w:rFonts w:asciiTheme="minorHAnsi" w:hAnsiTheme="minorHAnsi" w:cs="Mangal"/>
                <w:sz w:val="22"/>
              </w:rPr>
              <w:t>Vertrouwelijk</w:t>
            </w:r>
            <w:r>
              <w:rPr>
                <w:rFonts w:asciiTheme="minorHAnsi" w:hAnsiTheme="minorHAnsi" w:cs="Mangal"/>
                <w:sz w:val="22"/>
              </w:rPr>
              <w:t>)</w:t>
            </w:r>
          </w:p>
        </w:tc>
        <w:tc>
          <w:tcPr>
            <w:tcW w:w="4869" w:type="dxa"/>
            <w:tcBorders>
              <w:top w:val="single" w:sz="4" w:space="0" w:color="auto"/>
              <w:left w:val="single" w:sz="4" w:space="0" w:color="auto"/>
              <w:bottom w:val="single" w:sz="4" w:space="0" w:color="auto"/>
              <w:right w:val="single" w:sz="4" w:space="0" w:color="auto"/>
            </w:tcBorders>
            <w:hideMark/>
          </w:tcPr>
          <w:p w:rsidR="007461C2" w:rsidRPr="002F1956" w:rsidRDefault="007461C2" w:rsidP="00FC50AD">
            <w:pPr>
              <w:ind w:left="175" w:hanging="175"/>
              <w:rPr>
                <w:rFonts w:asciiTheme="minorHAnsi" w:hAnsiTheme="minorHAnsi" w:cs="Mangal"/>
                <w:sz w:val="22"/>
              </w:rPr>
            </w:pPr>
            <w:r w:rsidRPr="002F1956">
              <w:rPr>
                <w:rFonts w:asciiTheme="minorHAnsi" w:hAnsiTheme="minorHAnsi" w:cs="Mangal"/>
                <w:sz w:val="22"/>
              </w:rPr>
              <w:t>· Er is expliciet aangegeven wie welke rechten heeft t.a.v. de raadpleging en de verwerking van deze gegevens, bijvoorbeeld Kernregistratie systeem.</w:t>
            </w:r>
          </w:p>
        </w:tc>
        <w:tc>
          <w:tcPr>
            <w:tcW w:w="2710" w:type="dxa"/>
            <w:tcBorders>
              <w:top w:val="single" w:sz="4" w:space="0" w:color="auto"/>
              <w:left w:val="single" w:sz="4" w:space="0" w:color="auto"/>
              <w:bottom w:val="single" w:sz="4" w:space="0" w:color="auto"/>
              <w:right w:val="single" w:sz="4" w:space="0" w:color="auto"/>
            </w:tcBorders>
            <w:hideMark/>
          </w:tcPr>
          <w:p w:rsidR="007461C2" w:rsidRPr="002F1956" w:rsidRDefault="007461C2" w:rsidP="00FC50AD">
            <w:pPr>
              <w:rPr>
                <w:rFonts w:asciiTheme="minorHAnsi" w:hAnsiTheme="minorHAnsi"/>
                <w:sz w:val="22"/>
              </w:rPr>
            </w:pPr>
            <w:r w:rsidRPr="002F1956">
              <w:rPr>
                <w:rFonts w:asciiTheme="minorHAnsi" w:hAnsiTheme="minorHAnsi"/>
                <w:sz w:val="22"/>
              </w:rPr>
              <w:t>Basisbescherming +</w:t>
            </w:r>
          </w:p>
        </w:tc>
      </w:tr>
    </w:tbl>
    <w:p w:rsidR="007461C2" w:rsidRPr="002F1956" w:rsidRDefault="007461C2" w:rsidP="00FC50AD">
      <w:pPr>
        <w:spacing w:after="0" w:line="260" w:lineRule="atLeast"/>
        <w:jc w:val="both"/>
        <w:rPr>
          <w:szCs w:val="20"/>
          <w:lang w:eastAsia="en-US"/>
        </w:rPr>
      </w:pPr>
    </w:p>
    <w:p w:rsidR="00A95B77" w:rsidRPr="002F1956" w:rsidRDefault="007461C2" w:rsidP="00FC50AD">
      <w:pPr>
        <w:spacing w:after="0" w:line="260" w:lineRule="atLeast"/>
        <w:jc w:val="both"/>
        <w:rPr>
          <w:rFonts w:cs="Mangal"/>
          <w:szCs w:val="20"/>
        </w:rPr>
      </w:pPr>
      <w:r w:rsidRPr="002F1956">
        <w:rPr>
          <w:rFonts w:cs="Mangal"/>
          <w:szCs w:val="20"/>
        </w:rPr>
        <w:t xml:space="preserve">Welk beveiligingsniveau geschikt is voor een bepaald informatiesysteem hangt af van de classificatie van de informatie die het systeem verwerkt. De classificatie </w:t>
      </w:r>
      <w:r w:rsidR="00A126A0">
        <w:rPr>
          <w:rFonts w:cs="Mangal"/>
          <w:szCs w:val="20"/>
        </w:rPr>
        <w:t>wordt bepaald</w:t>
      </w:r>
      <w:r w:rsidRPr="002F1956">
        <w:rPr>
          <w:rFonts w:cs="Mangal"/>
          <w:szCs w:val="20"/>
        </w:rPr>
        <w:t xml:space="preserve"> door of namens de eigenaar van het betreffende informatiesysteem. </w:t>
      </w:r>
    </w:p>
    <w:p w:rsidR="001E6960" w:rsidRDefault="001E6960">
      <w:pPr>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br w:type="page"/>
      </w:r>
    </w:p>
    <w:p w:rsidR="00CD53FF" w:rsidRDefault="00CD53FF" w:rsidP="00CD53FF">
      <w:pPr>
        <w:pStyle w:val="Kop1"/>
        <w:spacing w:before="0" w:line="260" w:lineRule="atLeast"/>
      </w:pPr>
      <w:bookmarkStart w:id="79" w:name="_Ref411285789"/>
      <w:bookmarkStart w:id="80" w:name="_Toc412100417"/>
      <w:r>
        <w:lastRenderedPageBreak/>
        <w:t>Bijlage: Doelstellingen uit ISO/IEC 27001/27002</w:t>
      </w:r>
      <w:bookmarkEnd w:id="79"/>
      <w:bookmarkEnd w:id="80"/>
    </w:p>
    <w:p w:rsidR="00CD53FF" w:rsidRPr="00CD53FF" w:rsidRDefault="00CD53FF" w:rsidP="00CD53FF"/>
    <w:p w:rsidR="003B50E6" w:rsidRPr="00D80BA6" w:rsidRDefault="003B50E6" w:rsidP="003B1D5D">
      <w:pPr>
        <w:pStyle w:val="Lijstalinea"/>
        <w:numPr>
          <w:ilvl w:val="0"/>
          <w:numId w:val="43"/>
        </w:numPr>
        <w:spacing w:after="0" w:line="260" w:lineRule="atLeast"/>
      </w:pPr>
      <w:r w:rsidRPr="00D80BA6">
        <w:t>Ketenpartijen hebben directieaansturing van en -steun voor informatiebeveiliging in overeenstemming met bedrijfseisen en relevante wet- en regelgeving.</w:t>
      </w:r>
    </w:p>
    <w:p w:rsidR="003B50E6" w:rsidRPr="00D80BA6" w:rsidRDefault="003B50E6" w:rsidP="003B1D5D">
      <w:pPr>
        <w:pStyle w:val="Lijstalinea"/>
        <w:numPr>
          <w:ilvl w:val="0"/>
          <w:numId w:val="43"/>
        </w:numPr>
        <w:spacing w:after="0" w:line="260" w:lineRule="atLeast"/>
      </w:pPr>
      <w:r w:rsidRPr="00D80BA6">
        <w:t>Ketenpartijen stellen een beheerkader vast om de implementatie en uitvoering van de informatiebeveiliging binnen hun organisatie te initiëren en te beheersen.</w:t>
      </w:r>
      <w:r w:rsidRPr="00D80BA6">
        <w:br/>
      </w:r>
      <w:r w:rsidRPr="00D80BA6">
        <w:rPr>
          <w:i/>
        </w:rPr>
        <w:t xml:space="preserve">Toelichting: het beheerkader is gericht op het in de organisatie inbedden van de beleidsregels die komen vanuit de directieaansturing. </w:t>
      </w:r>
    </w:p>
    <w:p w:rsidR="003B50E6" w:rsidRPr="00D80BA6" w:rsidRDefault="003B50E6" w:rsidP="003B1D5D">
      <w:pPr>
        <w:pStyle w:val="Lijstalinea"/>
        <w:numPr>
          <w:ilvl w:val="0"/>
          <w:numId w:val="43"/>
        </w:numPr>
        <w:spacing w:after="0" w:line="260" w:lineRule="atLeast"/>
      </w:pPr>
      <w:r w:rsidRPr="00D80BA6">
        <w:t>Ketenpartijen waarborgen de veiligheid van telewerken en het gebruik van mobiele apparatuur.</w:t>
      </w:r>
    </w:p>
    <w:p w:rsidR="003B50E6" w:rsidRPr="00D80BA6" w:rsidRDefault="003B50E6" w:rsidP="003B1D5D">
      <w:pPr>
        <w:pStyle w:val="Lijstalinea"/>
        <w:numPr>
          <w:ilvl w:val="0"/>
          <w:numId w:val="43"/>
        </w:numPr>
        <w:spacing w:after="0" w:line="260" w:lineRule="atLeast"/>
      </w:pPr>
      <w:r w:rsidRPr="00D80BA6">
        <w:t>Ketenpartijen waarborgen dat medewerkers en contractanten hun verantwoordelijkheden begrijpen en geschikt zijn voor de functies waarvoor zij in aanmerking komen.</w:t>
      </w:r>
    </w:p>
    <w:p w:rsidR="003B50E6" w:rsidRPr="00D80BA6" w:rsidRDefault="003B50E6" w:rsidP="003B1D5D">
      <w:pPr>
        <w:pStyle w:val="Lijstalinea"/>
        <w:numPr>
          <w:ilvl w:val="0"/>
          <w:numId w:val="43"/>
        </w:numPr>
        <w:spacing w:after="0" w:line="260" w:lineRule="atLeast"/>
      </w:pPr>
      <w:r w:rsidRPr="00D80BA6">
        <w:t>Ketenpartijen zorgen ervoor dat medewerkers en contractanten zich bewust zijn van hun verantwoordelijkheden op het gebied van informatiebeveiliging en deze nakomen.</w:t>
      </w:r>
    </w:p>
    <w:p w:rsidR="003B50E6" w:rsidRPr="00D80BA6" w:rsidRDefault="003B50E6" w:rsidP="003B1D5D">
      <w:pPr>
        <w:pStyle w:val="Lijstalinea"/>
        <w:numPr>
          <w:ilvl w:val="0"/>
          <w:numId w:val="43"/>
        </w:numPr>
        <w:spacing w:after="0" w:line="260" w:lineRule="atLeast"/>
      </w:pPr>
      <w:r w:rsidRPr="00D80BA6">
        <w:t>Ketenpartijen beschermen de belangen van hun organisatie als onderdeel van de wijzigings- of beëindigingsprocedure van het dienstverband.</w:t>
      </w:r>
    </w:p>
    <w:p w:rsidR="003B50E6" w:rsidRPr="00D80BA6" w:rsidRDefault="003B50E6" w:rsidP="003B1D5D">
      <w:pPr>
        <w:pStyle w:val="Lijstalinea"/>
        <w:numPr>
          <w:ilvl w:val="0"/>
          <w:numId w:val="43"/>
        </w:numPr>
        <w:spacing w:after="0" w:line="260" w:lineRule="atLeast"/>
      </w:pPr>
      <w:r w:rsidRPr="00D80BA6">
        <w:t xml:space="preserve">Ketenpartijen identificeren bedrijfsmiddelen die samenhangen met informatie en </w:t>
      </w:r>
      <w:proofErr w:type="spellStart"/>
      <w:r w:rsidRPr="00D80BA6">
        <w:t>informatieverwerkende</w:t>
      </w:r>
      <w:proofErr w:type="spellEnd"/>
      <w:r w:rsidRPr="00D80BA6">
        <w:t xml:space="preserve"> faciliteiten en stellen van deze bedrijfsmiddelen een inventaris op en onderhouden deze.</w:t>
      </w:r>
    </w:p>
    <w:p w:rsidR="003B50E6" w:rsidRPr="00D80BA6" w:rsidRDefault="003B50E6" w:rsidP="003B1D5D">
      <w:pPr>
        <w:pStyle w:val="Lijstalinea"/>
        <w:numPr>
          <w:ilvl w:val="0"/>
          <w:numId w:val="43"/>
        </w:numPr>
        <w:spacing w:after="0" w:line="260" w:lineRule="atLeast"/>
      </w:pPr>
      <w:r w:rsidRPr="00D80BA6">
        <w:t>Ketenpartijen bewerkstelligen dat informatie een passend beschermingsniveau krijgt dat in overeenstemming is met het belang ervan voor hun organisatie.</w:t>
      </w:r>
    </w:p>
    <w:p w:rsidR="003B50E6" w:rsidRPr="00D80BA6" w:rsidRDefault="003B50E6" w:rsidP="003B1D5D">
      <w:pPr>
        <w:pStyle w:val="Lijstalinea"/>
        <w:numPr>
          <w:ilvl w:val="0"/>
          <w:numId w:val="43"/>
        </w:numPr>
        <w:spacing w:after="0" w:line="260" w:lineRule="atLeast"/>
      </w:pPr>
      <w:r w:rsidRPr="00D80BA6">
        <w:t>Ketenpartijen voorkomen onbevoegde openbaarmaking, wijziging, verwijdering of vernietiging van informatie die op media is opgeslagen.</w:t>
      </w:r>
    </w:p>
    <w:p w:rsidR="003B50E6" w:rsidRPr="00D80BA6" w:rsidRDefault="003B50E6" w:rsidP="003B1D5D">
      <w:pPr>
        <w:pStyle w:val="Lijstalinea"/>
        <w:numPr>
          <w:ilvl w:val="0"/>
          <w:numId w:val="43"/>
        </w:numPr>
        <w:spacing w:after="0" w:line="260" w:lineRule="atLeast"/>
      </w:pPr>
      <w:r w:rsidRPr="00D80BA6">
        <w:t xml:space="preserve">Ketenpartijen beperken toegang tot informatie en </w:t>
      </w:r>
      <w:proofErr w:type="spellStart"/>
      <w:r w:rsidRPr="00D80BA6">
        <w:t>informatieverwerkende</w:t>
      </w:r>
      <w:proofErr w:type="spellEnd"/>
      <w:r w:rsidRPr="00D80BA6">
        <w:t xml:space="preserve"> faciliteiten.</w:t>
      </w:r>
    </w:p>
    <w:p w:rsidR="003B50E6" w:rsidRPr="00D80BA6" w:rsidRDefault="003B50E6" w:rsidP="003B1D5D">
      <w:pPr>
        <w:pStyle w:val="Lijstalinea"/>
        <w:numPr>
          <w:ilvl w:val="0"/>
          <w:numId w:val="43"/>
        </w:numPr>
        <w:spacing w:after="0" w:line="260" w:lineRule="atLeast"/>
      </w:pPr>
      <w:r w:rsidRPr="00D80BA6">
        <w:t>Ketenpartijen bewerkstelligen toegang voor bevoegde gebruikers en voorkomen onbevoegde toegang tot systemen en diensten.</w:t>
      </w:r>
    </w:p>
    <w:p w:rsidR="003B50E6" w:rsidRPr="00D80BA6" w:rsidRDefault="003B50E6" w:rsidP="003B1D5D">
      <w:pPr>
        <w:pStyle w:val="Lijstalinea"/>
        <w:numPr>
          <w:ilvl w:val="0"/>
          <w:numId w:val="43"/>
        </w:numPr>
        <w:spacing w:after="0" w:line="260" w:lineRule="atLeast"/>
      </w:pPr>
      <w:r w:rsidRPr="00D80BA6">
        <w:t>Ketenpartijen maken gebruikers verantwoordelijk voor het beschermen van hun authenticatie-informatie.</w:t>
      </w:r>
    </w:p>
    <w:p w:rsidR="003B50E6" w:rsidRPr="00D80BA6" w:rsidRDefault="003B50E6" w:rsidP="003B1D5D">
      <w:pPr>
        <w:pStyle w:val="Lijstalinea"/>
        <w:numPr>
          <w:ilvl w:val="0"/>
          <w:numId w:val="43"/>
        </w:numPr>
        <w:spacing w:after="0" w:line="260" w:lineRule="atLeast"/>
      </w:pPr>
      <w:r w:rsidRPr="00D80BA6">
        <w:t>Ketenpartijen voorkomen onbevoegde toegang tot systemen en toepassingen.</w:t>
      </w:r>
    </w:p>
    <w:p w:rsidR="003B50E6" w:rsidRPr="00D80BA6" w:rsidRDefault="003B50E6" w:rsidP="003B1D5D">
      <w:pPr>
        <w:pStyle w:val="Lijstalinea"/>
        <w:numPr>
          <w:ilvl w:val="0"/>
          <w:numId w:val="43"/>
        </w:numPr>
        <w:spacing w:after="0" w:line="260" w:lineRule="atLeast"/>
      </w:pPr>
      <w:r w:rsidRPr="00D80BA6">
        <w:t>Ketenpartijen zorgen voor correct en doeltreffende gebruik van cryptografie om de vertrouwelijkheid, authenticiteit en/of integriteit van informatie te beschermen.</w:t>
      </w:r>
    </w:p>
    <w:p w:rsidR="003B50E6" w:rsidRPr="00D80BA6" w:rsidRDefault="003B50E6" w:rsidP="003B1D5D">
      <w:pPr>
        <w:pStyle w:val="Lijstalinea"/>
        <w:numPr>
          <w:ilvl w:val="0"/>
          <w:numId w:val="43"/>
        </w:numPr>
        <w:spacing w:after="0" w:line="260" w:lineRule="atLeast"/>
      </w:pPr>
      <w:r w:rsidRPr="00D80BA6">
        <w:t xml:space="preserve">Ketenpartijen voorkomen onbevoegde fysieke toegang tot, schade aan en interferentie met informatie en </w:t>
      </w:r>
      <w:proofErr w:type="spellStart"/>
      <w:r w:rsidRPr="00D80BA6">
        <w:t>informatieverwerkende</w:t>
      </w:r>
      <w:proofErr w:type="spellEnd"/>
      <w:r w:rsidRPr="00D80BA6">
        <w:t xml:space="preserve"> faciliteiten van hun organisatie.</w:t>
      </w:r>
    </w:p>
    <w:p w:rsidR="003B50E6" w:rsidRPr="00D80BA6" w:rsidRDefault="003B50E6" w:rsidP="003B1D5D">
      <w:pPr>
        <w:pStyle w:val="Lijstalinea"/>
        <w:numPr>
          <w:ilvl w:val="0"/>
          <w:numId w:val="43"/>
        </w:numPr>
        <w:spacing w:after="0" w:line="260" w:lineRule="atLeast"/>
      </w:pPr>
      <w:r w:rsidRPr="00D80BA6">
        <w:t xml:space="preserve">Ketenpartijen voorkomen verlies, schade, diefstal of </w:t>
      </w:r>
      <w:proofErr w:type="spellStart"/>
      <w:r w:rsidRPr="00D80BA6">
        <w:t>compromittering</w:t>
      </w:r>
      <w:proofErr w:type="spellEnd"/>
      <w:r w:rsidRPr="00D80BA6">
        <w:t xml:space="preserve"> van bedrijfsmiddelen en onderbreking van de bedrijfsvoering van hun organisatie.</w:t>
      </w:r>
    </w:p>
    <w:p w:rsidR="003B50E6" w:rsidRPr="00D80BA6" w:rsidRDefault="003B50E6" w:rsidP="003B1D5D">
      <w:pPr>
        <w:pStyle w:val="Lijstalinea"/>
        <w:numPr>
          <w:ilvl w:val="0"/>
          <w:numId w:val="43"/>
        </w:numPr>
        <w:spacing w:after="0" w:line="260" w:lineRule="atLeast"/>
      </w:pPr>
      <w:r w:rsidRPr="00D80BA6">
        <w:t xml:space="preserve">Ketenpartijen waarborgen correcte en veilige bediening van </w:t>
      </w:r>
      <w:proofErr w:type="spellStart"/>
      <w:r w:rsidRPr="00D80BA6">
        <w:t>informatieverwerkende</w:t>
      </w:r>
      <w:proofErr w:type="spellEnd"/>
      <w:r w:rsidRPr="00D80BA6">
        <w:t xml:space="preserve"> faciliteiten.</w:t>
      </w:r>
    </w:p>
    <w:p w:rsidR="003B50E6" w:rsidRPr="00D80BA6" w:rsidRDefault="003B50E6" w:rsidP="003B1D5D">
      <w:pPr>
        <w:pStyle w:val="Lijstalinea"/>
        <w:numPr>
          <w:ilvl w:val="0"/>
          <w:numId w:val="43"/>
        </w:numPr>
        <w:spacing w:after="0" w:line="260" w:lineRule="atLeast"/>
      </w:pPr>
      <w:r w:rsidRPr="00D80BA6">
        <w:t xml:space="preserve">Ketenpartijen waarborgen dat informatie en </w:t>
      </w:r>
      <w:proofErr w:type="spellStart"/>
      <w:r w:rsidRPr="00D80BA6">
        <w:t>informatieverwerkende</w:t>
      </w:r>
      <w:proofErr w:type="spellEnd"/>
      <w:r w:rsidRPr="00D80BA6">
        <w:t xml:space="preserve"> faciliteiten beschermd zijn tegen </w:t>
      </w:r>
      <w:proofErr w:type="spellStart"/>
      <w:r w:rsidRPr="00D80BA6">
        <w:t>malware</w:t>
      </w:r>
      <w:proofErr w:type="spellEnd"/>
      <w:r w:rsidRPr="00D80BA6">
        <w:t>.</w:t>
      </w:r>
    </w:p>
    <w:p w:rsidR="003B50E6" w:rsidRPr="00D80BA6" w:rsidRDefault="003B50E6" w:rsidP="003B1D5D">
      <w:pPr>
        <w:pStyle w:val="Lijstalinea"/>
        <w:numPr>
          <w:ilvl w:val="0"/>
          <w:numId w:val="43"/>
        </w:numPr>
        <w:spacing w:after="0" w:line="260" w:lineRule="atLeast"/>
      </w:pPr>
      <w:r w:rsidRPr="00D80BA6">
        <w:t>Ketenpartijen beschermen zich tegen het verlies van gegevens.</w:t>
      </w:r>
    </w:p>
    <w:p w:rsidR="003B50E6" w:rsidRPr="00D80BA6" w:rsidRDefault="003B50E6" w:rsidP="003B1D5D">
      <w:pPr>
        <w:pStyle w:val="Lijstalinea"/>
        <w:numPr>
          <w:ilvl w:val="0"/>
          <w:numId w:val="43"/>
        </w:numPr>
        <w:spacing w:after="0" w:line="260" w:lineRule="atLeast"/>
      </w:pPr>
      <w:r w:rsidRPr="00D80BA6">
        <w:t>Ketenpartijen leggen gebeurtenissen vast en verzamelen bewijs.</w:t>
      </w:r>
    </w:p>
    <w:p w:rsidR="003B50E6" w:rsidRPr="00D80BA6" w:rsidRDefault="003B50E6" w:rsidP="003B1D5D">
      <w:pPr>
        <w:pStyle w:val="Lijstalinea"/>
        <w:numPr>
          <w:ilvl w:val="0"/>
          <w:numId w:val="43"/>
        </w:numPr>
        <w:spacing w:after="0" w:line="260" w:lineRule="atLeast"/>
      </w:pPr>
      <w:r w:rsidRPr="00D80BA6">
        <w:t>Ketenpartijen waarborgen de integriteit van operationele systemen.</w:t>
      </w:r>
    </w:p>
    <w:p w:rsidR="003B50E6" w:rsidRPr="00D80BA6" w:rsidRDefault="003B50E6" w:rsidP="003B1D5D">
      <w:pPr>
        <w:pStyle w:val="Lijstalinea"/>
        <w:numPr>
          <w:ilvl w:val="0"/>
          <w:numId w:val="43"/>
        </w:numPr>
        <w:spacing w:after="0" w:line="260" w:lineRule="atLeast"/>
      </w:pPr>
      <w:r w:rsidRPr="00D80BA6">
        <w:t>Ketenpartijen voorkomen de benutting van technische kwetsbaarheden.</w:t>
      </w:r>
    </w:p>
    <w:p w:rsidR="003B50E6" w:rsidRPr="00D80BA6" w:rsidRDefault="003B50E6" w:rsidP="003B1D5D">
      <w:pPr>
        <w:pStyle w:val="Lijstalinea"/>
        <w:numPr>
          <w:ilvl w:val="0"/>
          <w:numId w:val="43"/>
        </w:numPr>
        <w:spacing w:after="0" w:line="260" w:lineRule="atLeast"/>
      </w:pPr>
      <w:r w:rsidRPr="00D80BA6">
        <w:t>Ketenpartijen maken de impact van auditactiviteiten op uitvoeringssystemen zo gering mogelijk.</w:t>
      </w:r>
    </w:p>
    <w:p w:rsidR="003B50E6" w:rsidRPr="00D80BA6" w:rsidRDefault="003B50E6" w:rsidP="003B1D5D">
      <w:pPr>
        <w:pStyle w:val="Lijstalinea"/>
        <w:numPr>
          <w:ilvl w:val="0"/>
          <w:numId w:val="43"/>
        </w:numPr>
        <w:spacing w:after="0" w:line="260" w:lineRule="atLeast"/>
      </w:pPr>
      <w:r w:rsidRPr="00D80BA6">
        <w:t xml:space="preserve">Ketenpartijen waarborgen de bescherming van informatie in netwerken en de ondersteunende </w:t>
      </w:r>
      <w:proofErr w:type="spellStart"/>
      <w:r w:rsidRPr="00D80BA6">
        <w:t>informatieverwerkende</w:t>
      </w:r>
      <w:proofErr w:type="spellEnd"/>
      <w:r w:rsidRPr="00D80BA6">
        <w:t xml:space="preserve"> faciliteiten.</w:t>
      </w:r>
    </w:p>
    <w:p w:rsidR="003B50E6" w:rsidRPr="00D80BA6" w:rsidRDefault="003B50E6" w:rsidP="003B1D5D">
      <w:pPr>
        <w:pStyle w:val="Lijstalinea"/>
        <w:numPr>
          <w:ilvl w:val="0"/>
          <w:numId w:val="43"/>
        </w:numPr>
        <w:spacing w:after="0" w:line="260" w:lineRule="atLeast"/>
      </w:pPr>
      <w:r w:rsidRPr="00D80BA6">
        <w:t>Ketenpartijen handhaven de beveiliging van informatie die wordt uitgewisseld binnen hun organisatie en met een externe identiteit.</w:t>
      </w:r>
    </w:p>
    <w:p w:rsidR="003B50E6" w:rsidRPr="00D80BA6" w:rsidRDefault="003B50E6" w:rsidP="003B1D5D">
      <w:pPr>
        <w:pStyle w:val="Lijstalinea"/>
        <w:numPr>
          <w:ilvl w:val="0"/>
          <w:numId w:val="43"/>
        </w:numPr>
        <w:spacing w:after="0" w:line="260" w:lineRule="atLeast"/>
      </w:pPr>
      <w:r w:rsidRPr="00D80BA6">
        <w:t>Ketenpartijen waarborgen dat informatiebeveiliging integraal deel uitmaakt van informatiesystemen in de gehele levenscyclus. Hiertoe behoren ook de eisen voor informatiesystemen die diensten verlenen via openbare netwerken.</w:t>
      </w:r>
    </w:p>
    <w:p w:rsidR="003B50E6" w:rsidRPr="00D80BA6" w:rsidRDefault="003B50E6" w:rsidP="003B1D5D">
      <w:pPr>
        <w:pStyle w:val="Lijstalinea"/>
        <w:numPr>
          <w:ilvl w:val="0"/>
          <w:numId w:val="43"/>
        </w:numPr>
        <w:spacing w:after="0" w:line="260" w:lineRule="atLeast"/>
      </w:pPr>
      <w:r w:rsidRPr="00D80BA6">
        <w:t>Ketenpartijen bewerkstelligen dat informatiebeveiliging wordt ontworpen en geïmplementeerd binnen de ontwikkelingslevenscyclus van informatiesystemen.</w:t>
      </w:r>
    </w:p>
    <w:p w:rsidR="003B50E6" w:rsidRPr="00D80BA6" w:rsidRDefault="003B50E6" w:rsidP="003B1D5D">
      <w:pPr>
        <w:pStyle w:val="Lijstalinea"/>
        <w:numPr>
          <w:ilvl w:val="0"/>
          <w:numId w:val="43"/>
        </w:numPr>
        <w:spacing w:after="0" w:line="260" w:lineRule="atLeast"/>
      </w:pPr>
      <w:r w:rsidRPr="00D80BA6">
        <w:lastRenderedPageBreak/>
        <w:t>Ketenpartijen waarborgen bescherming van gegevens die voor het testen zijn gebruikt.</w:t>
      </w:r>
    </w:p>
    <w:p w:rsidR="003B50E6" w:rsidRPr="00D80BA6" w:rsidRDefault="003B50E6" w:rsidP="003B1D5D">
      <w:pPr>
        <w:pStyle w:val="Lijstalinea"/>
        <w:numPr>
          <w:ilvl w:val="0"/>
          <w:numId w:val="43"/>
        </w:numPr>
        <w:spacing w:after="0" w:line="260" w:lineRule="atLeast"/>
      </w:pPr>
      <w:r w:rsidRPr="00D80BA6">
        <w:t>Ketenpartijen waarborgen de bescherming van bedrijfsmiddelen van de organisatie die toegankelijk zijn voor leveranciers.</w:t>
      </w:r>
    </w:p>
    <w:p w:rsidR="003B50E6" w:rsidRPr="00D80BA6" w:rsidRDefault="003B50E6" w:rsidP="003B1D5D">
      <w:pPr>
        <w:pStyle w:val="Lijstalinea"/>
        <w:numPr>
          <w:ilvl w:val="0"/>
          <w:numId w:val="43"/>
        </w:numPr>
        <w:spacing w:after="0" w:line="260" w:lineRule="atLeast"/>
      </w:pPr>
      <w:r w:rsidRPr="00D80BA6">
        <w:t>Ketenpartijen handhaven een overeengekomen niveau van informatiebeveiliging en dienstverlening in overeenstemming met de leveranciersovereenkomsten.</w:t>
      </w:r>
    </w:p>
    <w:p w:rsidR="003B50E6" w:rsidRPr="00D80BA6" w:rsidRDefault="003B50E6" w:rsidP="003B1D5D">
      <w:pPr>
        <w:pStyle w:val="Lijstalinea"/>
        <w:numPr>
          <w:ilvl w:val="0"/>
          <w:numId w:val="43"/>
        </w:numPr>
        <w:spacing w:after="0" w:line="260" w:lineRule="atLeast"/>
      </w:pPr>
      <w:r w:rsidRPr="00D80BA6">
        <w:t>Ketenpartijen bewerkstelligen een consistente en doeltreffende aanpak van het beheer van informatiebeveiligingsincidenten, met inbegrip van communicatie over beveiligingsgebeurtenissen en zwakke plekken in de beveiliging.</w:t>
      </w:r>
    </w:p>
    <w:p w:rsidR="003B50E6" w:rsidRPr="00D80BA6" w:rsidRDefault="003B50E6" w:rsidP="003B1D5D">
      <w:pPr>
        <w:pStyle w:val="Lijstalinea"/>
        <w:numPr>
          <w:ilvl w:val="0"/>
          <w:numId w:val="43"/>
        </w:numPr>
        <w:spacing w:after="0" w:line="260" w:lineRule="atLeast"/>
      </w:pPr>
      <w:r w:rsidRPr="00D80BA6">
        <w:t>Ketenpartijen bedden informatiebeveiligingscontinuïteit in de systemen van het bedrijfscontinuïteitsbeheer van hun organisatie.</w:t>
      </w:r>
    </w:p>
    <w:p w:rsidR="003B50E6" w:rsidRPr="00D80BA6" w:rsidRDefault="003B50E6" w:rsidP="003B1D5D">
      <w:pPr>
        <w:pStyle w:val="Lijstalinea"/>
        <w:numPr>
          <w:ilvl w:val="0"/>
          <w:numId w:val="43"/>
        </w:numPr>
        <w:spacing w:after="0" w:line="260" w:lineRule="atLeast"/>
      </w:pPr>
      <w:r w:rsidRPr="00D80BA6">
        <w:t xml:space="preserve">Ketenpartijen bewerkstelligen beschikbaarheid van </w:t>
      </w:r>
      <w:proofErr w:type="spellStart"/>
      <w:r w:rsidRPr="00D80BA6">
        <w:t>informatieverwerkende</w:t>
      </w:r>
      <w:proofErr w:type="spellEnd"/>
      <w:r w:rsidRPr="00D80BA6">
        <w:t xml:space="preserve"> faciliteiten.</w:t>
      </w:r>
    </w:p>
    <w:p w:rsidR="003B50E6" w:rsidRPr="00D80BA6" w:rsidRDefault="003B50E6" w:rsidP="003B1D5D">
      <w:pPr>
        <w:pStyle w:val="Lijstalinea"/>
        <w:numPr>
          <w:ilvl w:val="0"/>
          <w:numId w:val="43"/>
        </w:numPr>
        <w:spacing w:after="0" w:line="260" w:lineRule="atLeast"/>
      </w:pPr>
      <w:r w:rsidRPr="00D80BA6">
        <w:t>Ketenpartijen voorkomen schendingen van wettelijke, statutaire, regelgevende of contractuele verplichtingen betreffende informatiebeveiliging en beveiliging</w:t>
      </w:r>
      <w:r>
        <w:t>s</w:t>
      </w:r>
      <w:r w:rsidRPr="00D80BA6">
        <w:t>eisen.</w:t>
      </w:r>
    </w:p>
    <w:p w:rsidR="00726D1B" w:rsidRPr="00726D1B" w:rsidRDefault="003B50E6" w:rsidP="003B1D5D">
      <w:pPr>
        <w:pStyle w:val="Lijstalinea"/>
        <w:numPr>
          <w:ilvl w:val="0"/>
          <w:numId w:val="43"/>
        </w:numPr>
        <w:spacing w:after="0" w:line="260" w:lineRule="atLeast"/>
      </w:pPr>
      <w:r w:rsidRPr="00D80BA6">
        <w:t>Ketenpartijen verzekeren dat de informatiebeveiliging wordt geïmplementeerd en uitgevoerd in overeenstemming met de beleidsregels en procedures van hun organisatie.</w:t>
      </w:r>
      <w:r w:rsidRPr="00D80BA6">
        <w:br/>
      </w:r>
      <w:r w:rsidRPr="003B50E6">
        <w:rPr>
          <w:i/>
        </w:rPr>
        <w:t>Toelichting: Dit impliceert dat de genomen maatregelen toetsbaar en controleerbaar zijn, en dat er zowel interne controle is op de naleving van het beveiligingsbeleid als dat er, waar nodig, onafhankelijke (externe) beoordelingen worden uitgevoerd.</w:t>
      </w:r>
    </w:p>
    <w:p w:rsidR="003F3050" w:rsidRPr="006C6C2A" w:rsidRDefault="003F3050"/>
    <w:sectPr w:rsidR="003F3050" w:rsidRPr="006C6C2A" w:rsidSect="002B6FE3">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FAA" w:rsidRDefault="00834FAA" w:rsidP="004026A0">
      <w:pPr>
        <w:spacing w:after="0" w:line="240" w:lineRule="auto"/>
      </w:pPr>
      <w:r>
        <w:separator/>
      </w:r>
    </w:p>
  </w:endnote>
  <w:endnote w:type="continuationSeparator" w:id="0">
    <w:p w:rsidR="00834FAA" w:rsidRDefault="00834FAA" w:rsidP="00402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59710"/>
      <w:docPartObj>
        <w:docPartGallery w:val="Page Numbers (Bottom of Page)"/>
        <w:docPartUnique/>
      </w:docPartObj>
    </w:sdtPr>
    <w:sdtEndPr/>
    <w:sdtContent>
      <w:p w:rsidR="00C14038" w:rsidRDefault="00C14038">
        <w:pPr>
          <w:pStyle w:val="Voettekst"/>
          <w:jc w:val="center"/>
        </w:pPr>
        <w:r>
          <w:fldChar w:fldCharType="begin"/>
        </w:r>
        <w:r>
          <w:instrText>PAGE   \* MERGEFORMAT</w:instrText>
        </w:r>
        <w:r>
          <w:fldChar w:fldCharType="separate"/>
        </w:r>
        <w:r w:rsidR="00FB47BD">
          <w:rPr>
            <w:noProof/>
          </w:rPr>
          <w:t>2</w:t>
        </w:r>
        <w:r>
          <w:rPr>
            <w:noProof/>
          </w:rPr>
          <w:fldChar w:fldCharType="end"/>
        </w:r>
      </w:p>
    </w:sdtContent>
  </w:sdt>
  <w:p w:rsidR="00C14038" w:rsidRDefault="00C1403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FAA" w:rsidRDefault="00834FAA" w:rsidP="004026A0">
      <w:pPr>
        <w:spacing w:after="0" w:line="240" w:lineRule="auto"/>
      </w:pPr>
      <w:r>
        <w:separator/>
      </w:r>
    </w:p>
  </w:footnote>
  <w:footnote w:type="continuationSeparator" w:id="0">
    <w:p w:rsidR="00834FAA" w:rsidRDefault="00834FAA" w:rsidP="004026A0">
      <w:pPr>
        <w:spacing w:after="0" w:line="240" w:lineRule="auto"/>
      </w:pPr>
      <w:r>
        <w:continuationSeparator/>
      </w:r>
    </w:p>
  </w:footnote>
  <w:footnote w:id="1">
    <w:p w:rsidR="00C14038" w:rsidRDefault="00C14038" w:rsidP="00012F68">
      <w:pPr>
        <w:pStyle w:val="Voetnoottekst"/>
      </w:pPr>
      <w:r>
        <w:rPr>
          <w:rStyle w:val="Voetnootmarkering"/>
        </w:rPr>
        <w:footnoteRef/>
      </w:r>
      <w:r>
        <w:t xml:space="preserve"> Een best </w:t>
      </w:r>
      <w:proofErr w:type="spellStart"/>
      <w:r>
        <w:t>practice</w:t>
      </w:r>
      <w:proofErr w:type="spellEnd"/>
      <w:r>
        <w:t xml:space="preserve"> is om voor dit soort grootschalige, acute incidenten een zogenaamd '</w:t>
      </w:r>
      <w:proofErr w:type="spellStart"/>
      <w:r>
        <w:t>emergency</w:t>
      </w:r>
      <w:proofErr w:type="spellEnd"/>
      <w:r>
        <w:t xml:space="preserve"> response team' in te richten. Zo'n CERT kan partijen in de keten actief benaderen wanneer zich een relevant incident voordoet dat om onmiddellijke reactie vraagt. Ook kan het individuele ketenpartijen ondersteunen bij het reageren op een lokaal incident. Met goede respons processen kan de impact van een incident, een digitale inbraak, een </w:t>
      </w:r>
      <w:proofErr w:type="spellStart"/>
      <w:r>
        <w:t>datalek</w:t>
      </w:r>
      <w:proofErr w:type="spellEnd"/>
      <w:r>
        <w:t xml:space="preserve"> of een digitale blokkade, zo veel mogelijk beperkt worden.</w:t>
      </w:r>
    </w:p>
    <w:p w:rsidR="00C14038" w:rsidRDefault="00C14038" w:rsidP="00012F68">
      <w:pPr>
        <w:pStyle w:val="Voetnoottekst"/>
      </w:pPr>
    </w:p>
    <w:p w:rsidR="00C14038" w:rsidRDefault="00C14038" w:rsidP="00012F68">
      <w:pPr>
        <w:pStyle w:val="Voetnoottekst"/>
      </w:pPr>
      <w:r>
        <w:t xml:space="preserve">Het hoger onderwijs heeft, ter ondersteuning van de ho-instellingen, zo'n </w:t>
      </w:r>
      <w:proofErr w:type="spellStart"/>
      <w:r>
        <w:t>emergence</w:t>
      </w:r>
      <w:proofErr w:type="spellEnd"/>
      <w:r>
        <w:t xml:space="preserve"> response team in de vorm van </w:t>
      </w:r>
      <w:proofErr w:type="spellStart"/>
      <w:r>
        <w:t>SURFcert</w:t>
      </w:r>
      <w:proofErr w:type="spellEnd"/>
      <w:r>
        <w:t xml:space="preserve">. In 2013 zijn door </w:t>
      </w:r>
      <w:proofErr w:type="spellStart"/>
      <w:r>
        <w:t>SURFcert</w:t>
      </w:r>
      <w:proofErr w:type="spellEnd"/>
      <w:r>
        <w:t xml:space="preserve"> meer dan 10.000 security incidenten voor de ho-sector behandeld. Wat het NCSC is voor de Rijksoverheid is </w:t>
      </w:r>
      <w:proofErr w:type="spellStart"/>
      <w:r>
        <w:t>SURFcert</w:t>
      </w:r>
      <w:proofErr w:type="spellEnd"/>
      <w:r>
        <w:t xml:space="preserve"> voor de gebruikers van </w:t>
      </w:r>
      <w:proofErr w:type="spellStart"/>
      <w:r>
        <w:t>SURFnet</w:t>
      </w:r>
      <w:proofErr w:type="spellEnd"/>
      <w:r>
        <w:t xml:space="preserve">. </w:t>
      </w:r>
      <w:proofErr w:type="spellStart"/>
      <w:r>
        <w:t>SURFcert</w:t>
      </w:r>
      <w:proofErr w:type="spellEnd"/>
      <w:r>
        <w:t xml:space="preserve"> werkt in verschillende “netwerken” nauw samen met NCSC.</w:t>
      </w:r>
    </w:p>
  </w:footnote>
  <w:footnote w:id="2">
    <w:p w:rsidR="00C14038" w:rsidRPr="00DC502C" w:rsidRDefault="00C14038">
      <w:pPr>
        <w:pStyle w:val="Voetnoottekst"/>
      </w:pPr>
      <w:r>
        <w:rPr>
          <w:rStyle w:val="Voetnootmarkering"/>
        </w:rPr>
        <w:footnoteRef/>
      </w:r>
      <w:r>
        <w:t xml:space="preserve"> In het NORA Katern Beveiliging zijn beheersmaatregelen en implementatierichtlijnen samengenomen onder de noemer </w:t>
      </w:r>
      <w:r>
        <w:rPr>
          <w:i/>
        </w:rPr>
        <w:t>eisen</w:t>
      </w:r>
      <w:r>
        <w:t xml:space="preserve">. Onder die naam komen ze ook terug in </w:t>
      </w:r>
      <w:r>
        <w:fldChar w:fldCharType="begin"/>
      </w:r>
      <w:r>
        <w:instrText xml:space="preserve"> REF _Ref402441771 \h </w:instrText>
      </w:r>
      <w:r>
        <w:fldChar w:fldCharType="separate"/>
      </w:r>
      <w:r w:rsidR="00AF57FD">
        <w:t xml:space="preserve">Figuur </w:t>
      </w:r>
      <w:r>
        <w:fldChar w:fldCharType="end"/>
      </w:r>
      <w:r>
        <w:t>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038" w:rsidRDefault="00C1403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668"/>
    <w:multiLevelType w:val="hybridMultilevel"/>
    <w:tmpl w:val="1E946A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29E0D36"/>
    <w:multiLevelType w:val="hybridMultilevel"/>
    <w:tmpl w:val="F40AD4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88D27EB"/>
    <w:multiLevelType w:val="hybridMultilevel"/>
    <w:tmpl w:val="3002147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8974C9A"/>
    <w:multiLevelType w:val="hybridMultilevel"/>
    <w:tmpl w:val="305CBB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A435D7B"/>
    <w:multiLevelType w:val="hybridMultilevel"/>
    <w:tmpl w:val="80B2CA38"/>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0C3D3579"/>
    <w:multiLevelType w:val="hybridMultilevel"/>
    <w:tmpl w:val="4D0076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06D523A"/>
    <w:multiLevelType w:val="hybridMultilevel"/>
    <w:tmpl w:val="898655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0B477A2"/>
    <w:multiLevelType w:val="hybridMultilevel"/>
    <w:tmpl w:val="B1A6DE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2E51BD1"/>
    <w:multiLevelType w:val="hybridMultilevel"/>
    <w:tmpl w:val="9EE2D18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14B460B1"/>
    <w:multiLevelType w:val="hybridMultilevel"/>
    <w:tmpl w:val="7A9658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76236A1"/>
    <w:multiLevelType w:val="hybridMultilevel"/>
    <w:tmpl w:val="123CFB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1A4F0859"/>
    <w:multiLevelType w:val="hybridMultilevel"/>
    <w:tmpl w:val="FD0A2C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1B95E78"/>
    <w:multiLevelType w:val="hybridMultilevel"/>
    <w:tmpl w:val="BA06FF86"/>
    <w:lvl w:ilvl="0" w:tplc="21A2A5D2">
      <w:start w:val="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228E47B4"/>
    <w:multiLevelType w:val="hybridMultilevel"/>
    <w:tmpl w:val="1D6047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41B4C80"/>
    <w:multiLevelType w:val="hybridMultilevel"/>
    <w:tmpl w:val="323686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5A42BB3"/>
    <w:multiLevelType w:val="hybridMultilevel"/>
    <w:tmpl w:val="5DE481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6304064"/>
    <w:multiLevelType w:val="hybridMultilevel"/>
    <w:tmpl w:val="0F463024"/>
    <w:lvl w:ilvl="0" w:tplc="3D9E2BF0">
      <w:start w:val="1"/>
      <w:numFmt w:val="decimal"/>
      <w:lvlText w:val="%1."/>
      <w:lvlJc w:val="left"/>
      <w:pPr>
        <w:ind w:left="360" w:hanging="360"/>
      </w:pPr>
      <w:rPr>
        <w:rFonts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29A66D5E"/>
    <w:multiLevelType w:val="hybridMultilevel"/>
    <w:tmpl w:val="622CB6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2C9336D8"/>
    <w:multiLevelType w:val="hybridMultilevel"/>
    <w:tmpl w:val="0F463024"/>
    <w:lvl w:ilvl="0" w:tplc="3D9E2BF0">
      <w:start w:val="1"/>
      <w:numFmt w:val="decimal"/>
      <w:lvlText w:val="%1."/>
      <w:lvlJc w:val="left"/>
      <w:pPr>
        <w:ind w:left="360" w:hanging="360"/>
      </w:pPr>
      <w:rPr>
        <w:rFonts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2FEE076B"/>
    <w:multiLevelType w:val="hybridMultilevel"/>
    <w:tmpl w:val="A7889ED2"/>
    <w:lvl w:ilvl="0" w:tplc="A89C118A">
      <w:start w:val="5"/>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315C5E07"/>
    <w:multiLevelType w:val="hybridMultilevel"/>
    <w:tmpl w:val="065691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338956A9"/>
    <w:multiLevelType w:val="hybridMultilevel"/>
    <w:tmpl w:val="83AE4CE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39401267"/>
    <w:multiLevelType w:val="hybridMultilevel"/>
    <w:tmpl w:val="5434CF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3F3E6689"/>
    <w:multiLevelType w:val="hybridMultilevel"/>
    <w:tmpl w:val="DD7802D2"/>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nsid w:val="412747A9"/>
    <w:multiLevelType w:val="hybridMultilevel"/>
    <w:tmpl w:val="BCE075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4F47F5A"/>
    <w:multiLevelType w:val="hybridMultilevel"/>
    <w:tmpl w:val="34E8F52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6">
    <w:nsid w:val="455224EB"/>
    <w:multiLevelType w:val="hybridMultilevel"/>
    <w:tmpl w:val="8E40CAAE"/>
    <w:lvl w:ilvl="0" w:tplc="DD520E5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nsid w:val="45616C7A"/>
    <w:multiLevelType w:val="hybridMultilevel"/>
    <w:tmpl w:val="9DFC457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nsid w:val="47525B34"/>
    <w:multiLevelType w:val="hybridMultilevel"/>
    <w:tmpl w:val="305CBB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nsid w:val="49A45528"/>
    <w:multiLevelType w:val="hybridMultilevel"/>
    <w:tmpl w:val="4AB8CF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4B553DC1"/>
    <w:multiLevelType w:val="hybridMultilevel"/>
    <w:tmpl w:val="B08A4D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52BE1282"/>
    <w:multiLevelType w:val="hybridMultilevel"/>
    <w:tmpl w:val="8C24CD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5400509B"/>
    <w:multiLevelType w:val="hybridMultilevel"/>
    <w:tmpl w:val="427860D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3">
    <w:nsid w:val="5ABC2C0A"/>
    <w:multiLevelType w:val="hybridMultilevel"/>
    <w:tmpl w:val="4C76D1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B0A62D9"/>
    <w:multiLevelType w:val="hybridMultilevel"/>
    <w:tmpl w:val="C3FAE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5C5F0386"/>
    <w:multiLevelType w:val="hybridMultilevel"/>
    <w:tmpl w:val="3BC66DE2"/>
    <w:lvl w:ilvl="0" w:tplc="0413000F">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nsid w:val="61512CB7"/>
    <w:multiLevelType w:val="hybridMultilevel"/>
    <w:tmpl w:val="40E4D2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nsid w:val="6BF61D9D"/>
    <w:multiLevelType w:val="hybridMultilevel"/>
    <w:tmpl w:val="B10247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708155EA"/>
    <w:multiLevelType w:val="hybridMultilevel"/>
    <w:tmpl w:val="910275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77FC5EA2"/>
    <w:multiLevelType w:val="hybridMultilevel"/>
    <w:tmpl w:val="756E8E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7D5F02C7"/>
    <w:multiLevelType w:val="hybridMultilevel"/>
    <w:tmpl w:val="6D68A4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22"/>
  </w:num>
  <w:num w:numId="4">
    <w:abstractNumId w:val="17"/>
  </w:num>
  <w:num w:numId="5">
    <w:abstractNumId w:val="10"/>
  </w:num>
  <w:num w:numId="6">
    <w:abstractNumId w:val="18"/>
  </w:num>
  <w:num w:numId="7">
    <w:abstractNumId w:val="35"/>
  </w:num>
  <w:num w:numId="8">
    <w:abstractNumId w:val="2"/>
  </w:num>
  <w:num w:numId="9">
    <w:abstractNumId w:val="11"/>
  </w:num>
  <w:num w:numId="10">
    <w:abstractNumId w:val="7"/>
  </w:num>
  <w:num w:numId="11">
    <w:abstractNumId w:val="36"/>
  </w:num>
  <w:num w:numId="12">
    <w:abstractNumId w:val="39"/>
  </w:num>
  <w:num w:numId="13">
    <w:abstractNumId w:val="5"/>
  </w:num>
  <w:num w:numId="14">
    <w:abstractNumId w:val="38"/>
  </w:num>
  <w:num w:numId="15">
    <w:abstractNumId w:val="8"/>
  </w:num>
  <w:num w:numId="16">
    <w:abstractNumId w:val="0"/>
  </w:num>
  <w:num w:numId="17">
    <w:abstractNumId w:val="33"/>
  </w:num>
  <w:num w:numId="18">
    <w:abstractNumId w:val="24"/>
  </w:num>
  <w:num w:numId="19">
    <w:abstractNumId w:val="6"/>
  </w:num>
  <w:num w:numId="20">
    <w:abstractNumId w:val="27"/>
  </w:num>
  <w:num w:numId="21">
    <w:abstractNumId w:val="4"/>
  </w:num>
  <w:num w:numId="22">
    <w:abstractNumId w:val="25"/>
  </w:num>
  <w:num w:numId="23">
    <w:abstractNumId w:val="20"/>
  </w:num>
  <w:num w:numId="24">
    <w:abstractNumId w:val="31"/>
  </w:num>
  <w:num w:numId="25">
    <w:abstractNumId w:val="40"/>
  </w:num>
  <w:num w:numId="26">
    <w:abstractNumId w:val="9"/>
  </w:num>
  <w:num w:numId="27">
    <w:abstractNumId w:val="30"/>
  </w:num>
  <w:num w:numId="28">
    <w:abstractNumId w:val="37"/>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19"/>
  </w:num>
  <w:num w:numId="32">
    <w:abstractNumId w:val="26"/>
  </w:num>
  <w:num w:numId="33">
    <w:abstractNumId w:val="3"/>
  </w:num>
  <w:num w:numId="34">
    <w:abstractNumId w:val="28"/>
  </w:num>
  <w:num w:numId="35">
    <w:abstractNumId w:val="34"/>
  </w:num>
  <w:num w:numId="36">
    <w:abstractNumId w:val="29"/>
  </w:num>
  <w:num w:numId="37">
    <w:abstractNumId w:val="15"/>
  </w:num>
  <w:num w:numId="38">
    <w:abstractNumId w:val="12"/>
  </w:num>
  <w:num w:numId="39">
    <w:abstractNumId w:val="1"/>
  </w:num>
  <w:num w:numId="4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23"/>
  </w:num>
  <w:num w:numId="43">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5A1"/>
    <w:rsid w:val="00002F03"/>
    <w:rsid w:val="000048B9"/>
    <w:rsid w:val="00004B19"/>
    <w:rsid w:val="0000760B"/>
    <w:rsid w:val="000077EC"/>
    <w:rsid w:val="00007BB9"/>
    <w:rsid w:val="00011A87"/>
    <w:rsid w:val="00011C89"/>
    <w:rsid w:val="00012A8C"/>
    <w:rsid w:val="00012F68"/>
    <w:rsid w:val="00013EB2"/>
    <w:rsid w:val="000144B4"/>
    <w:rsid w:val="00014654"/>
    <w:rsid w:val="00014B73"/>
    <w:rsid w:val="00014CE4"/>
    <w:rsid w:val="0001589C"/>
    <w:rsid w:val="0001684A"/>
    <w:rsid w:val="00017172"/>
    <w:rsid w:val="000178FA"/>
    <w:rsid w:val="000201B5"/>
    <w:rsid w:val="00026160"/>
    <w:rsid w:val="000278FD"/>
    <w:rsid w:val="00027D17"/>
    <w:rsid w:val="00030221"/>
    <w:rsid w:val="00030E7F"/>
    <w:rsid w:val="00032527"/>
    <w:rsid w:val="00033DEB"/>
    <w:rsid w:val="00034731"/>
    <w:rsid w:val="00036A6B"/>
    <w:rsid w:val="00036C34"/>
    <w:rsid w:val="0004045F"/>
    <w:rsid w:val="00041281"/>
    <w:rsid w:val="00042B7D"/>
    <w:rsid w:val="00042DDB"/>
    <w:rsid w:val="000442D7"/>
    <w:rsid w:val="000459ED"/>
    <w:rsid w:val="000501CC"/>
    <w:rsid w:val="00050468"/>
    <w:rsid w:val="00052A34"/>
    <w:rsid w:val="00053A6A"/>
    <w:rsid w:val="00056838"/>
    <w:rsid w:val="00056C11"/>
    <w:rsid w:val="000579B1"/>
    <w:rsid w:val="00060190"/>
    <w:rsid w:val="000603C6"/>
    <w:rsid w:val="00060AD4"/>
    <w:rsid w:val="00060EA2"/>
    <w:rsid w:val="00061585"/>
    <w:rsid w:val="00061DC5"/>
    <w:rsid w:val="00061E4B"/>
    <w:rsid w:val="00062192"/>
    <w:rsid w:val="00062D55"/>
    <w:rsid w:val="00063966"/>
    <w:rsid w:val="00064371"/>
    <w:rsid w:val="00070A3D"/>
    <w:rsid w:val="00071A2A"/>
    <w:rsid w:val="00074820"/>
    <w:rsid w:val="00075731"/>
    <w:rsid w:val="0007639E"/>
    <w:rsid w:val="00076DEA"/>
    <w:rsid w:val="0008147B"/>
    <w:rsid w:val="00081635"/>
    <w:rsid w:val="000816FA"/>
    <w:rsid w:val="000818EC"/>
    <w:rsid w:val="00081F25"/>
    <w:rsid w:val="00082660"/>
    <w:rsid w:val="00082705"/>
    <w:rsid w:val="0008310A"/>
    <w:rsid w:val="00083E4C"/>
    <w:rsid w:val="000841FA"/>
    <w:rsid w:val="0008648F"/>
    <w:rsid w:val="000918BA"/>
    <w:rsid w:val="00092A6A"/>
    <w:rsid w:val="00093284"/>
    <w:rsid w:val="000932D7"/>
    <w:rsid w:val="00093FE0"/>
    <w:rsid w:val="000946B0"/>
    <w:rsid w:val="00094A8C"/>
    <w:rsid w:val="00094B48"/>
    <w:rsid w:val="00095B26"/>
    <w:rsid w:val="00096447"/>
    <w:rsid w:val="00096E40"/>
    <w:rsid w:val="000A0684"/>
    <w:rsid w:val="000A479D"/>
    <w:rsid w:val="000A5068"/>
    <w:rsid w:val="000A5705"/>
    <w:rsid w:val="000A7480"/>
    <w:rsid w:val="000B045C"/>
    <w:rsid w:val="000B1384"/>
    <w:rsid w:val="000B2F65"/>
    <w:rsid w:val="000B51D3"/>
    <w:rsid w:val="000B621F"/>
    <w:rsid w:val="000B7A05"/>
    <w:rsid w:val="000C086C"/>
    <w:rsid w:val="000C1126"/>
    <w:rsid w:val="000C144E"/>
    <w:rsid w:val="000C17B6"/>
    <w:rsid w:val="000C1D73"/>
    <w:rsid w:val="000C40E9"/>
    <w:rsid w:val="000C41C6"/>
    <w:rsid w:val="000C4271"/>
    <w:rsid w:val="000C5361"/>
    <w:rsid w:val="000C56B9"/>
    <w:rsid w:val="000C5B23"/>
    <w:rsid w:val="000C5BBF"/>
    <w:rsid w:val="000C625E"/>
    <w:rsid w:val="000C6C27"/>
    <w:rsid w:val="000C71CD"/>
    <w:rsid w:val="000C7955"/>
    <w:rsid w:val="000C7E13"/>
    <w:rsid w:val="000D28BB"/>
    <w:rsid w:val="000D3CD2"/>
    <w:rsid w:val="000D3FBF"/>
    <w:rsid w:val="000D52CA"/>
    <w:rsid w:val="000D53D4"/>
    <w:rsid w:val="000D5D0F"/>
    <w:rsid w:val="000D6375"/>
    <w:rsid w:val="000E2DDF"/>
    <w:rsid w:val="000E3AAE"/>
    <w:rsid w:val="000E3AF6"/>
    <w:rsid w:val="000E4FE1"/>
    <w:rsid w:val="000E5A6B"/>
    <w:rsid w:val="000E6493"/>
    <w:rsid w:val="000F127C"/>
    <w:rsid w:val="000F3012"/>
    <w:rsid w:val="000F4CB8"/>
    <w:rsid w:val="000F78B8"/>
    <w:rsid w:val="001011DC"/>
    <w:rsid w:val="00101DC3"/>
    <w:rsid w:val="00102D28"/>
    <w:rsid w:val="00102E26"/>
    <w:rsid w:val="001030C9"/>
    <w:rsid w:val="00103938"/>
    <w:rsid w:val="00103A89"/>
    <w:rsid w:val="001041A8"/>
    <w:rsid w:val="001055B4"/>
    <w:rsid w:val="00106D2C"/>
    <w:rsid w:val="001126FF"/>
    <w:rsid w:val="00112DBE"/>
    <w:rsid w:val="00114803"/>
    <w:rsid w:val="00115619"/>
    <w:rsid w:val="001158ED"/>
    <w:rsid w:val="00116EF3"/>
    <w:rsid w:val="00120534"/>
    <w:rsid w:val="00125C8B"/>
    <w:rsid w:val="001267C9"/>
    <w:rsid w:val="001307FB"/>
    <w:rsid w:val="001316E7"/>
    <w:rsid w:val="00134A1B"/>
    <w:rsid w:val="00135ED9"/>
    <w:rsid w:val="001362B3"/>
    <w:rsid w:val="001377AF"/>
    <w:rsid w:val="00140296"/>
    <w:rsid w:val="0014267C"/>
    <w:rsid w:val="00144F0C"/>
    <w:rsid w:val="00145261"/>
    <w:rsid w:val="001457D8"/>
    <w:rsid w:val="00147E20"/>
    <w:rsid w:val="0015018B"/>
    <w:rsid w:val="00151230"/>
    <w:rsid w:val="001520BB"/>
    <w:rsid w:val="001526BC"/>
    <w:rsid w:val="00153883"/>
    <w:rsid w:val="001554DB"/>
    <w:rsid w:val="00156894"/>
    <w:rsid w:val="00157555"/>
    <w:rsid w:val="00161087"/>
    <w:rsid w:val="00161E26"/>
    <w:rsid w:val="001635AE"/>
    <w:rsid w:val="0016574A"/>
    <w:rsid w:val="00165A13"/>
    <w:rsid w:val="00167DB6"/>
    <w:rsid w:val="00170F4B"/>
    <w:rsid w:val="00171A4A"/>
    <w:rsid w:val="0017295F"/>
    <w:rsid w:val="001742E1"/>
    <w:rsid w:val="00174C38"/>
    <w:rsid w:val="001767A2"/>
    <w:rsid w:val="00176AF6"/>
    <w:rsid w:val="00177751"/>
    <w:rsid w:val="00180478"/>
    <w:rsid w:val="00180599"/>
    <w:rsid w:val="0018201D"/>
    <w:rsid w:val="00183421"/>
    <w:rsid w:val="00186273"/>
    <w:rsid w:val="00187CC3"/>
    <w:rsid w:val="00196BB8"/>
    <w:rsid w:val="001A2BDF"/>
    <w:rsid w:val="001A34FC"/>
    <w:rsid w:val="001A6292"/>
    <w:rsid w:val="001B1522"/>
    <w:rsid w:val="001B265A"/>
    <w:rsid w:val="001B3611"/>
    <w:rsid w:val="001B4198"/>
    <w:rsid w:val="001B60BC"/>
    <w:rsid w:val="001B7CA5"/>
    <w:rsid w:val="001B7DFE"/>
    <w:rsid w:val="001C08AD"/>
    <w:rsid w:val="001C2DF5"/>
    <w:rsid w:val="001C48AF"/>
    <w:rsid w:val="001C5A7E"/>
    <w:rsid w:val="001C7666"/>
    <w:rsid w:val="001C7ECE"/>
    <w:rsid w:val="001D2141"/>
    <w:rsid w:val="001D2D61"/>
    <w:rsid w:val="001D407B"/>
    <w:rsid w:val="001D4136"/>
    <w:rsid w:val="001D4521"/>
    <w:rsid w:val="001D4BBA"/>
    <w:rsid w:val="001D5E48"/>
    <w:rsid w:val="001D70BE"/>
    <w:rsid w:val="001E2477"/>
    <w:rsid w:val="001E2E52"/>
    <w:rsid w:val="001E2ECD"/>
    <w:rsid w:val="001E5504"/>
    <w:rsid w:val="001E6960"/>
    <w:rsid w:val="001F0D5C"/>
    <w:rsid w:val="001F0EB5"/>
    <w:rsid w:val="001F2440"/>
    <w:rsid w:val="001F2DE6"/>
    <w:rsid w:val="001F37A0"/>
    <w:rsid w:val="001F58FA"/>
    <w:rsid w:val="001F688C"/>
    <w:rsid w:val="0020170F"/>
    <w:rsid w:val="0020288A"/>
    <w:rsid w:val="00202C84"/>
    <w:rsid w:val="00203BE0"/>
    <w:rsid w:val="00205752"/>
    <w:rsid w:val="00206942"/>
    <w:rsid w:val="00207539"/>
    <w:rsid w:val="0020770A"/>
    <w:rsid w:val="00207986"/>
    <w:rsid w:val="00211ACF"/>
    <w:rsid w:val="002130E1"/>
    <w:rsid w:val="002135D5"/>
    <w:rsid w:val="00213F11"/>
    <w:rsid w:val="00215842"/>
    <w:rsid w:val="0021700B"/>
    <w:rsid w:val="00221E65"/>
    <w:rsid w:val="00221EAE"/>
    <w:rsid w:val="002226D2"/>
    <w:rsid w:val="002228D7"/>
    <w:rsid w:val="00222DC9"/>
    <w:rsid w:val="00223C68"/>
    <w:rsid w:val="002243AB"/>
    <w:rsid w:val="0022453C"/>
    <w:rsid w:val="002247DD"/>
    <w:rsid w:val="00224A02"/>
    <w:rsid w:val="00224E8B"/>
    <w:rsid w:val="00226632"/>
    <w:rsid w:val="00226C0D"/>
    <w:rsid w:val="00230BF4"/>
    <w:rsid w:val="002312A0"/>
    <w:rsid w:val="00232CA7"/>
    <w:rsid w:val="00232D5D"/>
    <w:rsid w:val="00234DB8"/>
    <w:rsid w:val="0023587F"/>
    <w:rsid w:val="0023785A"/>
    <w:rsid w:val="002409C7"/>
    <w:rsid w:val="0024211F"/>
    <w:rsid w:val="00242B2E"/>
    <w:rsid w:val="002434DE"/>
    <w:rsid w:val="00245525"/>
    <w:rsid w:val="002477DF"/>
    <w:rsid w:val="00247AE6"/>
    <w:rsid w:val="002507B2"/>
    <w:rsid w:val="00250C43"/>
    <w:rsid w:val="002527EF"/>
    <w:rsid w:val="002555BC"/>
    <w:rsid w:val="00255E05"/>
    <w:rsid w:val="00256690"/>
    <w:rsid w:val="002612B1"/>
    <w:rsid w:val="00261A3B"/>
    <w:rsid w:val="00261BEA"/>
    <w:rsid w:val="00261EB5"/>
    <w:rsid w:val="002642FC"/>
    <w:rsid w:val="002645DC"/>
    <w:rsid w:val="00265086"/>
    <w:rsid w:val="00265632"/>
    <w:rsid w:val="002673FE"/>
    <w:rsid w:val="00270690"/>
    <w:rsid w:val="002708BB"/>
    <w:rsid w:val="00270C94"/>
    <w:rsid w:val="002725F1"/>
    <w:rsid w:val="00273D3C"/>
    <w:rsid w:val="002740B4"/>
    <w:rsid w:val="002758A6"/>
    <w:rsid w:val="002768DD"/>
    <w:rsid w:val="00277079"/>
    <w:rsid w:val="00277E91"/>
    <w:rsid w:val="00277F1D"/>
    <w:rsid w:val="0028008B"/>
    <w:rsid w:val="0028065C"/>
    <w:rsid w:val="00280F05"/>
    <w:rsid w:val="002835C5"/>
    <w:rsid w:val="00283B59"/>
    <w:rsid w:val="002841F2"/>
    <w:rsid w:val="00284829"/>
    <w:rsid w:val="00286DCA"/>
    <w:rsid w:val="002903FC"/>
    <w:rsid w:val="002904C0"/>
    <w:rsid w:val="00291505"/>
    <w:rsid w:val="00292F46"/>
    <w:rsid w:val="002947F9"/>
    <w:rsid w:val="00295018"/>
    <w:rsid w:val="00295CCF"/>
    <w:rsid w:val="002A0AB6"/>
    <w:rsid w:val="002A0B44"/>
    <w:rsid w:val="002A0E5E"/>
    <w:rsid w:val="002A16FE"/>
    <w:rsid w:val="002A21EA"/>
    <w:rsid w:val="002A315B"/>
    <w:rsid w:val="002A38EE"/>
    <w:rsid w:val="002A6B46"/>
    <w:rsid w:val="002A6F2D"/>
    <w:rsid w:val="002B0996"/>
    <w:rsid w:val="002B5190"/>
    <w:rsid w:val="002B53DE"/>
    <w:rsid w:val="002B6FE3"/>
    <w:rsid w:val="002B759E"/>
    <w:rsid w:val="002B7601"/>
    <w:rsid w:val="002B7F46"/>
    <w:rsid w:val="002B7F9D"/>
    <w:rsid w:val="002C0784"/>
    <w:rsid w:val="002C2282"/>
    <w:rsid w:val="002C2AB5"/>
    <w:rsid w:val="002C3F6D"/>
    <w:rsid w:val="002C4C43"/>
    <w:rsid w:val="002C50E6"/>
    <w:rsid w:val="002C5EB8"/>
    <w:rsid w:val="002C6122"/>
    <w:rsid w:val="002C6396"/>
    <w:rsid w:val="002C6E20"/>
    <w:rsid w:val="002C7C73"/>
    <w:rsid w:val="002D049E"/>
    <w:rsid w:val="002D209E"/>
    <w:rsid w:val="002D32AD"/>
    <w:rsid w:val="002D402D"/>
    <w:rsid w:val="002D4B7F"/>
    <w:rsid w:val="002D5F2A"/>
    <w:rsid w:val="002D71C2"/>
    <w:rsid w:val="002E498D"/>
    <w:rsid w:val="002E6F9C"/>
    <w:rsid w:val="002F0A53"/>
    <w:rsid w:val="002F1956"/>
    <w:rsid w:val="002F1E7C"/>
    <w:rsid w:val="002F2869"/>
    <w:rsid w:val="002F3A2B"/>
    <w:rsid w:val="002F4428"/>
    <w:rsid w:val="002F5341"/>
    <w:rsid w:val="002F76F9"/>
    <w:rsid w:val="00300279"/>
    <w:rsid w:val="003002E9"/>
    <w:rsid w:val="00300647"/>
    <w:rsid w:val="00302532"/>
    <w:rsid w:val="00302F37"/>
    <w:rsid w:val="00303E9D"/>
    <w:rsid w:val="0030454C"/>
    <w:rsid w:val="00304B74"/>
    <w:rsid w:val="00305CEF"/>
    <w:rsid w:val="003106F1"/>
    <w:rsid w:val="003113E5"/>
    <w:rsid w:val="00311A47"/>
    <w:rsid w:val="003124C9"/>
    <w:rsid w:val="00313AEF"/>
    <w:rsid w:val="00314DA0"/>
    <w:rsid w:val="003157D3"/>
    <w:rsid w:val="00315E85"/>
    <w:rsid w:val="00317FDF"/>
    <w:rsid w:val="003206B6"/>
    <w:rsid w:val="0032181C"/>
    <w:rsid w:val="0032284A"/>
    <w:rsid w:val="00322EA5"/>
    <w:rsid w:val="00327AB5"/>
    <w:rsid w:val="003308A8"/>
    <w:rsid w:val="00330D1E"/>
    <w:rsid w:val="00331343"/>
    <w:rsid w:val="003317C3"/>
    <w:rsid w:val="00332761"/>
    <w:rsid w:val="00333472"/>
    <w:rsid w:val="003368C5"/>
    <w:rsid w:val="00336ABA"/>
    <w:rsid w:val="003419D4"/>
    <w:rsid w:val="00341CAC"/>
    <w:rsid w:val="00342098"/>
    <w:rsid w:val="00346797"/>
    <w:rsid w:val="003478B9"/>
    <w:rsid w:val="003505A9"/>
    <w:rsid w:val="00350C1E"/>
    <w:rsid w:val="0035144C"/>
    <w:rsid w:val="003524EF"/>
    <w:rsid w:val="003533A6"/>
    <w:rsid w:val="00353B73"/>
    <w:rsid w:val="0035603D"/>
    <w:rsid w:val="00357318"/>
    <w:rsid w:val="00361481"/>
    <w:rsid w:val="00361CE8"/>
    <w:rsid w:val="003625FA"/>
    <w:rsid w:val="003633DA"/>
    <w:rsid w:val="0036341A"/>
    <w:rsid w:val="003634FD"/>
    <w:rsid w:val="00364116"/>
    <w:rsid w:val="003661EB"/>
    <w:rsid w:val="00366CA7"/>
    <w:rsid w:val="00367FD6"/>
    <w:rsid w:val="0037100F"/>
    <w:rsid w:val="00372739"/>
    <w:rsid w:val="00376834"/>
    <w:rsid w:val="00377173"/>
    <w:rsid w:val="003772E5"/>
    <w:rsid w:val="003775EF"/>
    <w:rsid w:val="003814E1"/>
    <w:rsid w:val="00381E65"/>
    <w:rsid w:val="00384855"/>
    <w:rsid w:val="003849DF"/>
    <w:rsid w:val="00385EDE"/>
    <w:rsid w:val="003901AB"/>
    <w:rsid w:val="00391094"/>
    <w:rsid w:val="00392602"/>
    <w:rsid w:val="00395A7E"/>
    <w:rsid w:val="003A2937"/>
    <w:rsid w:val="003A2F61"/>
    <w:rsid w:val="003A3726"/>
    <w:rsid w:val="003A37BB"/>
    <w:rsid w:val="003A3A72"/>
    <w:rsid w:val="003A403C"/>
    <w:rsid w:val="003A75DF"/>
    <w:rsid w:val="003A79AD"/>
    <w:rsid w:val="003A7AD6"/>
    <w:rsid w:val="003B1D5D"/>
    <w:rsid w:val="003B1F10"/>
    <w:rsid w:val="003B49E4"/>
    <w:rsid w:val="003B50E6"/>
    <w:rsid w:val="003B6862"/>
    <w:rsid w:val="003B6A5A"/>
    <w:rsid w:val="003C0E12"/>
    <w:rsid w:val="003C0F2C"/>
    <w:rsid w:val="003C39FD"/>
    <w:rsid w:val="003C3B1C"/>
    <w:rsid w:val="003C5513"/>
    <w:rsid w:val="003C5849"/>
    <w:rsid w:val="003C5F20"/>
    <w:rsid w:val="003C7597"/>
    <w:rsid w:val="003C795C"/>
    <w:rsid w:val="003D46DE"/>
    <w:rsid w:val="003D552D"/>
    <w:rsid w:val="003D646D"/>
    <w:rsid w:val="003E00A0"/>
    <w:rsid w:val="003E050F"/>
    <w:rsid w:val="003E0A96"/>
    <w:rsid w:val="003E1DCF"/>
    <w:rsid w:val="003E2189"/>
    <w:rsid w:val="003E268D"/>
    <w:rsid w:val="003E320D"/>
    <w:rsid w:val="003E4227"/>
    <w:rsid w:val="003E43CF"/>
    <w:rsid w:val="003E60D7"/>
    <w:rsid w:val="003F0935"/>
    <w:rsid w:val="003F1C0A"/>
    <w:rsid w:val="003F2FED"/>
    <w:rsid w:val="003F3050"/>
    <w:rsid w:val="003F3E20"/>
    <w:rsid w:val="003F4501"/>
    <w:rsid w:val="003F4632"/>
    <w:rsid w:val="003F5AC7"/>
    <w:rsid w:val="003F70EF"/>
    <w:rsid w:val="003F7338"/>
    <w:rsid w:val="003F78A3"/>
    <w:rsid w:val="0040039E"/>
    <w:rsid w:val="00400B26"/>
    <w:rsid w:val="004019C5"/>
    <w:rsid w:val="00401B06"/>
    <w:rsid w:val="00401B0E"/>
    <w:rsid w:val="004026A0"/>
    <w:rsid w:val="0040367A"/>
    <w:rsid w:val="0040409A"/>
    <w:rsid w:val="0040491F"/>
    <w:rsid w:val="00404B03"/>
    <w:rsid w:val="004059A8"/>
    <w:rsid w:val="00405DAD"/>
    <w:rsid w:val="00406B1B"/>
    <w:rsid w:val="00407045"/>
    <w:rsid w:val="004109AD"/>
    <w:rsid w:val="00411019"/>
    <w:rsid w:val="00411F9D"/>
    <w:rsid w:val="00415BCA"/>
    <w:rsid w:val="00417372"/>
    <w:rsid w:val="004208FB"/>
    <w:rsid w:val="004214A3"/>
    <w:rsid w:val="00422155"/>
    <w:rsid w:val="0042223C"/>
    <w:rsid w:val="0042251F"/>
    <w:rsid w:val="004226A6"/>
    <w:rsid w:val="004228AA"/>
    <w:rsid w:val="0042291E"/>
    <w:rsid w:val="0042326B"/>
    <w:rsid w:val="00424149"/>
    <w:rsid w:val="00424462"/>
    <w:rsid w:val="00425B0C"/>
    <w:rsid w:val="004320A4"/>
    <w:rsid w:val="0043493C"/>
    <w:rsid w:val="004370B4"/>
    <w:rsid w:val="004403B3"/>
    <w:rsid w:val="00443584"/>
    <w:rsid w:val="004464D0"/>
    <w:rsid w:val="00446F93"/>
    <w:rsid w:val="0044734E"/>
    <w:rsid w:val="00447664"/>
    <w:rsid w:val="00450497"/>
    <w:rsid w:val="00451CD4"/>
    <w:rsid w:val="00452884"/>
    <w:rsid w:val="00452C0C"/>
    <w:rsid w:val="00453C93"/>
    <w:rsid w:val="0045502F"/>
    <w:rsid w:val="004558A8"/>
    <w:rsid w:val="004560CA"/>
    <w:rsid w:val="00456E00"/>
    <w:rsid w:val="004573E5"/>
    <w:rsid w:val="004618DB"/>
    <w:rsid w:val="00463A1B"/>
    <w:rsid w:val="004652FA"/>
    <w:rsid w:val="00466399"/>
    <w:rsid w:val="004676B4"/>
    <w:rsid w:val="00472392"/>
    <w:rsid w:val="004724FE"/>
    <w:rsid w:val="0047421A"/>
    <w:rsid w:val="004748E0"/>
    <w:rsid w:val="0047520D"/>
    <w:rsid w:val="00476783"/>
    <w:rsid w:val="0047745B"/>
    <w:rsid w:val="0048181C"/>
    <w:rsid w:val="0048271E"/>
    <w:rsid w:val="004845E8"/>
    <w:rsid w:val="00485B3C"/>
    <w:rsid w:val="00486DAA"/>
    <w:rsid w:val="00487030"/>
    <w:rsid w:val="00493568"/>
    <w:rsid w:val="00494ACD"/>
    <w:rsid w:val="00494F47"/>
    <w:rsid w:val="00495189"/>
    <w:rsid w:val="00495722"/>
    <w:rsid w:val="004963F4"/>
    <w:rsid w:val="004968EB"/>
    <w:rsid w:val="004975EB"/>
    <w:rsid w:val="004A1583"/>
    <w:rsid w:val="004A35EF"/>
    <w:rsid w:val="004A3AD8"/>
    <w:rsid w:val="004A3CEA"/>
    <w:rsid w:val="004A4D96"/>
    <w:rsid w:val="004B1F6B"/>
    <w:rsid w:val="004B27E5"/>
    <w:rsid w:val="004B2A85"/>
    <w:rsid w:val="004B3414"/>
    <w:rsid w:val="004B516C"/>
    <w:rsid w:val="004B52A6"/>
    <w:rsid w:val="004B5428"/>
    <w:rsid w:val="004B78A8"/>
    <w:rsid w:val="004B7D72"/>
    <w:rsid w:val="004C049F"/>
    <w:rsid w:val="004C2A12"/>
    <w:rsid w:val="004C33E5"/>
    <w:rsid w:val="004C47C9"/>
    <w:rsid w:val="004C6B9F"/>
    <w:rsid w:val="004C7248"/>
    <w:rsid w:val="004D1A46"/>
    <w:rsid w:val="004D261D"/>
    <w:rsid w:val="004D5086"/>
    <w:rsid w:val="004D64DC"/>
    <w:rsid w:val="004D65FE"/>
    <w:rsid w:val="004D6E73"/>
    <w:rsid w:val="004E0B74"/>
    <w:rsid w:val="004E13A1"/>
    <w:rsid w:val="004E35F8"/>
    <w:rsid w:val="004E4643"/>
    <w:rsid w:val="004E61CB"/>
    <w:rsid w:val="004F05C0"/>
    <w:rsid w:val="004F1A25"/>
    <w:rsid w:val="004F1DD6"/>
    <w:rsid w:val="004F23FF"/>
    <w:rsid w:val="004F2B04"/>
    <w:rsid w:val="004F772C"/>
    <w:rsid w:val="0050022A"/>
    <w:rsid w:val="00500C01"/>
    <w:rsid w:val="005014D4"/>
    <w:rsid w:val="005019F4"/>
    <w:rsid w:val="00501DA0"/>
    <w:rsid w:val="00502A58"/>
    <w:rsid w:val="00502D7E"/>
    <w:rsid w:val="00502E80"/>
    <w:rsid w:val="00503AE5"/>
    <w:rsid w:val="005054FF"/>
    <w:rsid w:val="00507C1F"/>
    <w:rsid w:val="00510086"/>
    <w:rsid w:val="005143B0"/>
    <w:rsid w:val="005178FE"/>
    <w:rsid w:val="005200D3"/>
    <w:rsid w:val="00520D2D"/>
    <w:rsid w:val="005213DF"/>
    <w:rsid w:val="005224B0"/>
    <w:rsid w:val="00523478"/>
    <w:rsid w:val="005249DA"/>
    <w:rsid w:val="00525549"/>
    <w:rsid w:val="00525998"/>
    <w:rsid w:val="005314A8"/>
    <w:rsid w:val="00532A01"/>
    <w:rsid w:val="005339C8"/>
    <w:rsid w:val="00534868"/>
    <w:rsid w:val="0053726B"/>
    <w:rsid w:val="005372E8"/>
    <w:rsid w:val="00537426"/>
    <w:rsid w:val="005374A7"/>
    <w:rsid w:val="00540897"/>
    <w:rsid w:val="005413D7"/>
    <w:rsid w:val="005428D8"/>
    <w:rsid w:val="00543CF4"/>
    <w:rsid w:val="00546361"/>
    <w:rsid w:val="005467E8"/>
    <w:rsid w:val="005475D2"/>
    <w:rsid w:val="005502E5"/>
    <w:rsid w:val="00551B8B"/>
    <w:rsid w:val="005522D0"/>
    <w:rsid w:val="00553C0C"/>
    <w:rsid w:val="00560488"/>
    <w:rsid w:val="005608E4"/>
    <w:rsid w:val="00560D28"/>
    <w:rsid w:val="00562149"/>
    <w:rsid w:val="005622EB"/>
    <w:rsid w:val="00562637"/>
    <w:rsid w:val="005629DA"/>
    <w:rsid w:val="00562EA4"/>
    <w:rsid w:val="0056468E"/>
    <w:rsid w:val="00566729"/>
    <w:rsid w:val="005670F6"/>
    <w:rsid w:val="005675EF"/>
    <w:rsid w:val="00570052"/>
    <w:rsid w:val="005719D2"/>
    <w:rsid w:val="00573897"/>
    <w:rsid w:val="00573E1C"/>
    <w:rsid w:val="00574A17"/>
    <w:rsid w:val="00575165"/>
    <w:rsid w:val="005753AD"/>
    <w:rsid w:val="00576466"/>
    <w:rsid w:val="00576AFC"/>
    <w:rsid w:val="00580B1E"/>
    <w:rsid w:val="005814AF"/>
    <w:rsid w:val="00581918"/>
    <w:rsid w:val="005830E2"/>
    <w:rsid w:val="0058310A"/>
    <w:rsid w:val="00583113"/>
    <w:rsid w:val="00583687"/>
    <w:rsid w:val="0058501E"/>
    <w:rsid w:val="005850E5"/>
    <w:rsid w:val="00585276"/>
    <w:rsid w:val="00585B3B"/>
    <w:rsid w:val="00586E11"/>
    <w:rsid w:val="00587615"/>
    <w:rsid w:val="00590BEF"/>
    <w:rsid w:val="00590E5E"/>
    <w:rsid w:val="00591732"/>
    <w:rsid w:val="00591AF3"/>
    <w:rsid w:val="005920F5"/>
    <w:rsid w:val="0059263C"/>
    <w:rsid w:val="005947E3"/>
    <w:rsid w:val="00594A03"/>
    <w:rsid w:val="005950FA"/>
    <w:rsid w:val="005974AD"/>
    <w:rsid w:val="005A0830"/>
    <w:rsid w:val="005A16C3"/>
    <w:rsid w:val="005A1DB3"/>
    <w:rsid w:val="005A30A8"/>
    <w:rsid w:val="005A39B4"/>
    <w:rsid w:val="005A3F7F"/>
    <w:rsid w:val="005A48BA"/>
    <w:rsid w:val="005A4EB6"/>
    <w:rsid w:val="005A71EF"/>
    <w:rsid w:val="005A7AD7"/>
    <w:rsid w:val="005A7DCE"/>
    <w:rsid w:val="005B0484"/>
    <w:rsid w:val="005B25D9"/>
    <w:rsid w:val="005B2FFF"/>
    <w:rsid w:val="005B5315"/>
    <w:rsid w:val="005B5853"/>
    <w:rsid w:val="005B59D8"/>
    <w:rsid w:val="005B5E90"/>
    <w:rsid w:val="005B7751"/>
    <w:rsid w:val="005B7914"/>
    <w:rsid w:val="005C0929"/>
    <w:rsid w:val="005C11B6"/>
    <w:rsid w:val="005C2B63"/>
    <w:rsid w:val="005C3ABE"/>
    <w:rsid w:val="005C4D1E"/>
    <w:rsid w:val="005C5A0C"/>
    <w:rsid w:val="005C5F4C"/>
    <w:rsid w:val="005C7341"/>
    <w:rsid w:val="005C7FF7"/>
    <w:rsid w:val="005D1AC0"/>
    <w:rsid w:val="005D1D46"/>
    <w:rsid w:val="005D1FB0"/>
    <w:rsid w:val="005D2732"/>
    <w:rsid w:val="005D2F83"/>
    <w:rsid w:val="005D3ADC"/>
    <w:rsid w:val="005D4401"/>
    <w:rsid w:val="005D454F"/>
    <w:rsid w:val="005D48BA"/>
    <w:rsid w:val="005D6817"/>
    <w:rsid w:val="005D6D26"/>
    <w:rsid w:val="005D752F"/>
    <w:rsid w:val="005E2B73"/>
    <w:rsid w:val="005E3ADD"/>
    <w:rsid w:val="005E49A8"/>
    <w:rsid w:val="005E51B3"/>
    <w:rsid w:val="005E53F4"/>
    <w:rsid w:val="005E58C0"/>
    <w:rsid w:val="005E6806"/>
    <w:rsid w:val="005E6940"/>
    <w:rsid w:val="005F02EE"/>
    <w:rsid w:val="005F05B0"/>
    <w:rsid w:val="005F24AF"/>
    <w:rsid w:val="005F2C5B"/>
    <w:rsid w:val="005F4634"/>
    <w:rsid w:val="005F481A"/>
    <w:rsid w:val="005F5231"/>
    <w:rsid w:val="005F5A3A"/>
    <w:rsid w:val="005F5A68"/>
    <w:rsid w:val="005F6E2D"/>
    <w:rsid w:val="005F7121"/>
    <w:rsid w:val="005F7FD1"/>
    <w:rsid w:val="00600DD2"/>
    <w:rsid w:val="00601103"/>
    <w:rsid w:val="00601264"/>
    <w:rsid w:val="00601672"/>
    <w:rsid w:val="006016C3"/>
    <w:rsid w:val="00601BAA"/>
    <w:rsid w:val="00602779"/>
    <w:rsid w:val="0060351E"/>
    <w:rsid w:val="0060413A"/>
    <w:rsid w:val="006049F5"/>
    <w:rsid w:val="006051B8"/>
    <w:rsid w:val="006056DC"/>
    <w:rsid w:val="006058AE"/>
    <w:rsid w:val="0060625B"/>
    <w:rsid w:val="006069C1"/>
    <w:rsid w:val="00606D4F"/>
    <w:rsid w:val="0061143D"/>
    <w:rsid w:val="006118E1"/>
    <w:rsid w:val="00615C2B"/>
    <w:rsid w:val="00617144"/>
    <w:rsid w:val="006219F7"/>
    <w:rsid w:val="00622238"/>
    <w:rsid w:val="006224DC"/>
    <w:rsid w:val="00622C8A"/>
    <w:rsid w:val="006232AB"/>
    <w:rsid w:val="0062356B"/>
    <w:rsid w:val="006238C8"/>
    <w:rsid w:val="006238E0"/>
    <w:rsid w:val="00623EBA"/>
    <w:rsid w:val="0062725F"/>
    <w:rsid w:val="00630472"/>
    <w:rsid w:val="00630D02"/>
    <w:rsid w:val="006318EB"/>
    <w:rsid w:val="00631AC7"/>
    <w:rsid w:val="00631B38"/>
    <w:rsid w:val="00632594"/>
    <w:rsid w:val="006329DB"/>
    <w:rsid w:val="0063324B"/>
    <w:rsid w:val="006352F9"/>
    <w:rsid w:val="00636322"/>
    <w:rsid w:val="006379FC"/>
    <w:rsid w:val="006401DE"/>
    <w:rsid w:val="00640CFB"/>
    <w:rsid w:val="006419FD"/>
    <w:rsid w:val="00641A6B"/>
    <w:rsid w:val="0064222F"/>
    <w:rsid w:val="0064244C"/>
    <w:rsid w:val="00642B36"/>
    <w:rsid w:val="00643159"/>
    <w:rsid w:val="006433B4"/>
    <w:rsid w:val="00644035"/>
    <w:rsid w:val="0064478F"/>
    <w:rsid w:val="0064502F"/>
    <w:rsid w:val="00645B24"/>
    <w:rsid w:val="00645F66"/>
    <w:rsid w:val="00646700"/>
    <w:rsid w:val="00647081"/>
    <w:rsid w:val="006517AF"/>
    <w:rsid w:val="00652B4E"/>
    <w:rsid w:val="00652BE6"/>
    <w:rsid w:val="006563F4"/>
    <w:rsid w:val="0065797E"/>
    <w:rsid w:val="0066125C"/>
    <w:rsid w:val="00661F24"/>
    <w:rsid w:val="00670493"/>
    <w:rsid w:val="0067058E"/>
    <w:rsid w:val="00670876"/>
    <w:rsid w:val="00671C9C"/>
    <w:rsid w:val="006722F2"/>
    <w:rsid w:val="00672C03"/>
    <w:rsid w:val="00672C72"/>
    <w:rsid w:val="006732A2"/>
    <w:rsid w:val="0067398F"/>
    <w:rsid w:val="00673FFA"/>
    <w:rsid w:val="00674111"/>
    <w:rsid w:val="006769C3"/>
    <w:rsid w:val="00677D3E"/>
    <w:rsid w:val="00677F31"/>
    <w:rsid w:val="00680917"/>
    <w:rsid w:val="0068237F"/>
    <w:rsid w:val="00683EF5"/>
    <w:rsid w:val="00684AD9"/>
    <w:rsid w:val="00685A9A"/>
    <w:rsid w:val="00685D6C"/>
    <w:rsid w:val="006917CF"/>
    <w:rsid w:val="00692D8B"/>
    <w:rsid w:val="00692F13"/>
    <w:rsid w:val="006939CB"/>
    <w:rsid w:val="00694B0E"/>
    <w:rsid w:val="00694C91"/>
    <w:rsid w:val="006965E6"/>
    <w:rsid w:val="006A1958"/>
    <w:rsid w:val="006A1A21"/>
    <w:rsid w:val="006A37C6"/>
    <w:rsid w:val="006A38CD"/>
    <w:rsid w:val="006A3D8F"/>
    <w:rsid w:val="006A4D3B"/>
    <w:rsid w:val="006A774F"/>
    <w:rsid w:val="006B2550"/>
    <w:rsid w:val="006B2746"/>
    <w:rsid w:val="006B27F9"/>
    <w:rsid w:val="006B3B13"/>
    <w:rsid w:val="006B4243"/>
    <w:rsid w:val="006B5C42"/>
    <w:rsid w:val="006B6919"/>
    <w:rsid w:val="006C0051"/>
    <w:rsid w:val="006C0DF1"/>
    <w:rsid w:val="006C1E38"/>
    <w:rsid w:val="006C226D"/>
    <w:rsid w:val="006C3950"/>
    <w:rsid w:val="006C44AA"/>
    <w:rsid w:val="006C473E"/>
    <w:rsid w:val="006C6380"/>
    <w:rsid w:val="006C6C2A"/>
    <w:rsid w:val="006C731D"/>
    <w:rsid w:val="006C7B9C"/>
    <w:rsid w:val="006C7C7D"/>
    <w:rsid w:val="006D0B28"/>
    <w:rsid w:val="006D17A5"/>
    <w:rsid w:val="006D3B4C"/>
    <w:rsid w:val="006D45D4"/>
    <w:rsid w:val="006D6395"/>
    <w:rsid w:val="006D7265"/>
    <w:rsid w:val="006E039C"/>
    <w:rsid w:val="006E1190"/>
    <w:rsid w:val="006E1296"/>
    <w:rsid w:val="006E2639"/>
    <w:rsid w:val="006E2670"/>
    <w:rsid w:val="006E3230"/>
    <w:rsid w:val="006E3388"/>
    <w:rsid w:val="006E3526"/>
    <w:rsid w:val="006E3DC0"/>
    <w:rsid w:val="006E40EE"/>
    <w:rsid w:val="006E47E7"/>
    <w:rsid w:val="006E57FC"/>
    <w:rsid w:val="006E5872"/>
    <w:rsid w:val="006E631C"/>
    <w:rsid w:val="006E6366"/>
    <w:rsid w:val="006E6522"/>
    <w:rsid w:val="006E6D54"/>
    <w:rsid w:val="006E73C2"/>
    <w:rsid w:val="006E7912"/>
    <w:rsid w:val="006F0A34"/>
    <w:rsid w:val="006F2081"/>
    <w:rsid w:val="006F2B94"/>
    <w:rsid w:val="006F39B9"/>
    <w:rsid w:val="006F4C8D"/>
    <w:rsid w:val="006F5671"/>
    <w:rsid w:val="006F6F6E"/>
    <w:rsid w:val="00700F0A"/>
    <w:rsid w:val="00701129"/>
    <w:rsid w:val="0070202E"/>
    <w:rsid w:val="00704587"/>
    <w:rsid w:val="00707733"/>
    <w:rsid w:val="007106FF"/>
    <w:rsid w:val="00713EDA"/>
    <w:rsid w:val="00713F22"/>
    <w:rsid w:val="00715149"/>
    <w:rsid w:val="007161EE"/>
    <w:rsid w:val="00716D1F"/>
    <w:rsid w:val="00721C9A"/>
    <w:rsid w:val="0072338F"/>
    <w:rsid w:val="00724CC4"/>
    <w:rsid w:val="00724D2B"/>
    <w:rsid w:val="0072674B"/>
    <w:rsid w:val="00726AC8"/>
    <w:rsid w:val="00726D1B"/>
    <w:rsid w:val="00733CE2"/>
    <w:rsid w:val="00733F46"/>
    <w:rsid w:val="0073481B"/>
    <w:rsid w:val="00735094"/>
    <w:rsid w:val="007356B7"/>
    <w:rsid w:val="00736F51"/>
    <w:rsid w:val="007378BE"/>
    <w:rsid w:val="00740031"/>
    <w:rsid w:val="00740142"/>
    <w:rsid w:val="00741B4B"/>
    <w:rsid w:val="0074218D"/>
    <w:rsid w:val="007421EA"/>
    <w:rsid w:val="0074348C"/>
    <w:rsid w:val="00743AC1"/>
    <w:rsid w:val="00744FF2"/>
    <w:rsid w:val="007451FE"/>
    <w:rsid w:val="00745B57"/>
    <w:rsid w:val="007461C2"/>
    <w:rsid w:val="0074654B"/>
    <w:rsid w:val="00746BF0"/>
    <w:rsid w:val="00747380"/>
    <w:rsid w:val="007473A5"/>
    <w:rsid w:val="00750980"/>
    <w:rsid w:val="00750CA8"/>
    <w:rsid w:val="0075173B"/>
    <w:rsid w:val="0075188D"/>
    <w:rsid w:val="00752676"/>
    <w:rsid w:val="0075321E"/>
    <w:rsid w:val="00753AE7"/>
    <w:rsid w:val="00754703"/>
    <w:rsid w:val="00757DDB"/>
    <w:rsid w:val="0076035E"/>
    <w:rsid w:val="0076533B"/>
    <w:rsid w:val="00770235"/>
    <w:rsid w:val="00770B5A"/>
    <w:rsid w:val="0077490A"/>
    <w:rsid w:val="00774E4D"/>
    <w:rsid w:val="00775174"/>
    <w:rsid w:val="007774B3"/>
    <w:rsid w:val="0078016D"/>
    <w:rsid w:val="00780FA5"/>
    <w:rsid w:val="00782C7B"/>
    <w:rsid w:val="00783C3C"/>
    <w:rsid w:val="0078430D"/>
    <w:rsid w:val="007905AD"/>
    <w:rsid w:val="00790962"/>
    <w:rsid w:val="00791C01"/>
    <w:rsid w:val="007951C2"/>
    <w:rsid w:val="00795946"/>
    <w:rsid w:val="007A3645"/>
    <w:rsid w:val="007A36FA"/>
    <w:rsid w:val="007A3F33"/>
    <w:rsid w:val="007A5495"/>
    <w:rsid w:val="007A6EAD"/>
    <w:rsid w:val="007B115D"/>
    <w:rsid w:val="007B2354"/>
    <w:rsid w:val="007B270E"/>
    <w:rsid w:val="007B2808"/>
    <w:rsid w:val="007B29E3"/>
    <w:rsid w:val="007B2FC9"/>
    <w:rsid w:val="007B3435"/>
    <w:rsid w:val="007B36EC"/>
    <w:rsid w:val="007B3BE0"/>
    <w:rsid w:val="007B3F5C"/>
    <w:rsid w:val="007B58AB"/>
    <w:rsid w:val="007B76E8"/>
    <w:rsid w:val="007C19E0"/>
    <w:rsid w:val="007C280C"/>
    <w:rsid w:val="007C333C"/>
    <w:rsid w:val="007C36A8"/>
    <w:rsid w:val="007C5EFC"/>
    <w:rsid w:val="007C7123"/>
    <w:rsid w:val="007D210A"/>
    <w:rsid w:val="007D2F82"/>
    <w:rsid w:val="007D34BD"/>
    <w:rsid w:val="007D4B61"/>
    <w:rsid w:val="007D7625"/>
    <w:rsid w:val="007D7CF4"/>
    <w:rsid w:val="007E0916"/>
    <w:rsid w:val="007E2081"/>
    <w:rsid w:val="007E2A53"/>
    <w:rsid w:val="007E5699"/>
    <w:rsid w:val="007E5E65"/>
    <w:rsid w:val="007E7243"/>
    <w:rsid w:val="007E7952"/>
    <w:rsid w:val="007E7A58"/>
    <w:rsid w:val="007F0D1C"/>
    <w:rsid w:val="007F0EA0"/>
    <w:rsid w:val="007F1F67"/>
    <w:rsid w:val="007F2491"/>
    <w:rsid w:val="007F2D1D"/>
    <w:rsid w:val="007F48DC"/>
    <w:rsid w:val="007F4DCE"/>
    <w:rsid w:val="007F6CDF"/>
    <w:rsid w:val="007F6D4B"/>
    <w:rsid w:val="007F7F90"/>
    <w:rsid w:val="008001D4"/>
    <w:rsid w:val="008003C7"/>
    <w:rsid w:val="008004EF"/>
    <w:rsid w:val="0080211D"/>
    <w:rsid w:val="0080215F"/>
    <w:rsid w:val="008024FB"/>
    <w:rsid w:val="00803870"/>
    <w:rsid w:val="00803E4D"/>
    <w:rsid w:val="00804B75"/>
    <w:rsid w:val="0080703C"/>
    <w:rsid w:val="0081121F"/>
    <w:rsid w:val="008118DE"/>
    <w:rsid w:val="00811F2B"/>
    <w:rsid w:val="0081245C"/>
    <w:rsid w:val="00812FF6"/>
    <w:rsid w:val="0081340A"/>
    <w:rsid w:val="00813EBA"/>
    <w:rsid w:val="00814E1E"/>
    <w:rsid w:val="008158E3"/>
    <w:rsid w:val="00815D0B"/>
    <w:rsid w:val="00816245"/>
    <w:rsid w:val="008168F8"/>
    <w:rsid w:val="00816EAE"/>
    <w:rsid w:val="008214E7"/>
    <w:rsid w:val="008214FB"/>
    <w:rsid w:val="008217D0"/>
    <w:rsid w:val="00821905"/>
    <w:rsid w:val="00822064"/>
    <w:rsid w:val="00822500"/>
    <w:rsid w:val="00822ACF"/>
    <w:rsid w:val="00823353"/>
    <w:rsid w:val="0082448D"/>
    <w:rsid w:val="0082547C"/>
    <w:rsid w:val="00825D07"/>
    <w:rsid w:val="00832791"/>
    <w:rsid w:val="00834923"/>
    <w:rsid w:val="00834FAA"/>
    <w:rsid w:val="00836562"/>
    <w:rsid w:val="00836AB5"/>
    <w:rsid w:val="008377DA"/>
    <w:rsid w:val="008403F7"/>
    <w:rsid w:val="008421BD"/>
    <w:rsid w:val="00843916"/>
    <w:rsid w:val="00843C92"/>
    <w:rsid w:val="00845006"/>
    <w:rsid w:val="00845A7E"/>
    <w:rsid w:val="00846318"/>
    <w:rsid w:val="00847569"/>
    <w:rsid w:val="00850356"/>
    <w:rsid w:val="00851C6E"/>
    <w:rsid w:val="00852425"/>
    <w:rsid w:val="00853EF3"/>
    <w:rsid w:val="0085418E"/>
    <w:rsid w:val="00857AC9"/>
    <w:rsid w:val="0086136A"/>
    <w:rsid w:val="0086192B"/>
    <w:rsid w:val="0086278C"/>
    <w:rsid w:val="00864CD9"/>
    <w:rsid w:val="0086780F"/>
    <w:rsid w:val="00867E69"/>
    <w:rsid w:val="0087092F"/>
    <w:rsid w:val="00871319"/>
    <w:rsid w:val="00872DE3"/>
    <w:rsid w:val="008738D6"/>
    <w:rsid w:val="008741BF"/>
    <w:rsid w:val="0087464F"/>
    <w:rsid w:val="00875EB9"/>
    <w:rsid w:val="00876737"/>
    <w:rsid w:val="00877EA4"/>
    <w:rsid w:val="00880CE6"/>
    <w:rsid w:val="00881947"/>
    <w:rsid w:val="008831A3"/>
    <w:rsid w:val="0088722B"/>
    <w:rsid w:val="00887C1E"/>
    <w:rsid w:val="008905B2"/>
    <w:rsid w:val="008917AB"/>
    <w:rsid w:val="00891B4D"/>
    <w:rsid w:val="00892962"/>
    <w:rsid w:val="00892A74"/>
    <w:rsid w:val="0089370F"/>
    <w:rsid w:val="008939FC"/>
    <w:rsid w:val="00894736"/>
    <w:rsid w:val="00895105"/>
    <w:rsid w:val="00896B6D"/>
    <w:rsid w:val="008A1234"/>
    <w:rsid w:val="008A21B9"/>
    <w:rsid w:val="008A38BD"/>
    <w:rsid w:val="008A4D36"/>
    <w:rsid w:val="008A4EA9"/>
    <w:rsid w:val="008A5731"/>
    <w:rsid w:val="008A5801"/>
    <w:rsid w:val="008A6212"/>
    <w:rsid w:val="008B1023"/>
    <w:rsid w:val="008B15A1"/>
    <w:rsid w:val="008B36CF"/>
    <w:rsid w:val="008B3BF9"/>
    <w:rsid w:val="008B4546"/>
    <w:rsid w:val="008B5A6D"/>
    <w:rsid w:val="008B6563"/>
    <w:rsid w:val="008B787A"/>
    <w:rsid w:val="008C0450"/>
    <w:rsid w:val="008C0EDC"/>
    <w:rsid w:val="008C2C11"/>
    <w:rsid w:val="008C3424"/>
    <w:rsid w:val="008C4C0C"/>
    <w:rsid w:val="008C4D52"/>
    <w:rsid w:val="008C7125"/>
    <w:rsid w:val="008C742C"/>
    <w:rsid w:val="008D10C3"/>
    <w:rsid w:val="008D12CE"/>
    <w:rsid w:val="008D1516"/>
    <w:rsid w:val="008D25FD"/>
    <w:rsid w:val="008D2775"/>
    <w:rsid w:val="008D4A71"/>
    <w:rsid w:val="008D5C98"/>
    <w:rsid w:val="008D6574"/>
    <w:rsid w:val="008D75BC"/>
    <w:rsid w:val="008E0C49"/>
    <w:rsid w:val="008E0D02"/>
    <w:rsid w:val="008E12BF"/>
    <w:rsid w:val="008E13F1"/>
    <w:rsid w:val="008E42BB"/>
    <w:rsid w:val="008E5201"/>
    <w:rsid w:val="008E6B87"/>
    <w:rsid w:val="008E6EEA"/>
    <w:rsid w:val="008F14FD"/>
    <w:rsid w:val="008F49B4"/>
    <w:rsid w:val="008F4C59"/>
    <w:rsid w:val="008F7431"/>
    <w:rsid w:val="008F7E71"/>
    <w:rsid w:val="00901FCA"/>
    <w:rsid w:val="0090660B"/>
    <w:rsid w:val="0090675E"/>
    <w:rsid w:val="00907EF0"/>
    <w:rsid w:val="009109B0"/>
    <w:rsid w:val="00914B3B"/>
    <w:rsid w:val="00914CF2"/>
    <w:rsid w:val="009161AB"/>
    <w:rsid w:val="00916C44"/>
    <w:rsid w:val="0092140C"/>
    <w:rsid w:val="009231E8"/>
    <w:rsid w:val="00925054"/>
    <w:rsid w:val="009250F2"/>
    <w:rsid w:val="00925183"/>
    <w:rsid w:val="009276EE"/>
    <w:rsid w:val="00930A4A"/>
    <w:rsid w:val="00931EE4"/>
    <w:rsid w:val="00932896"/>
    <w:rsid w:val="00933087"/>
    <w:rsid w:val="00934141"/>
    <w:rsid w:val="009347C0"/>
    <w:rsid w:val="009376EF"/>
    <w:rsid w:val="00940B03"/>
    <w:rsid w:val="00940E4F"/>
    <w:rsid w:val="00941FAB"/>
    <w:rsid w:val="00942035"/>
    <w:rsid w:val="009425DA"/>
    <w:rsid w:val="0094274D"/>
    <w:rsid w:val="00944D2A"/>
    <w:rsid w:val="00946082"/>
    <w:rsid w:val="009501F1"/>
    <w:rsid w:val="0095412A"/>
    <w:rsid w:val="00960EB7"/>
    <w:rsid w:val="00961E93"/>
    <w:rsid w:val="00962B31"/>
    <w:rsid w:val="009637F8"/>
    <w:rsid w:val="009649A0"/>
    <w:rsid w:val="00966458"/>
    <w:rsid w:val="00966707"/>
    <w:rsid w:val="00966B19"/>
    <w:rsid w:val="00966B98"/>
    <w:rsid w:val="00967180"/>
    <w:rsid w:val="00970ADF"/>
    <w:rsid w:val="00970AF5"/>
    <w:rsid w:val="00972A0C"/>
    <w:rsid w:val="00972DB6"/>
    <w:rsid w:val="00973636"/>
    <w:rsid w:val="00974977"/>
    <w:rsid w:val="00974AC4"/>
    <w:rsid w:val="009771D6"/>
    <w:rsid w:val="00982584"/>
    <w:rsid w:val="00983839"/>
    <w:rsid w:val="009879C5"/>
    <w:rsid w:val="00990C60"/>
    <w:rsid w:val="00991843"/>
    <w:rsid w:val="0099352C"/>
    <w:rsid w:val="00995C1E"/>
    <w:rsid w:val="00996B0C"/>
    <w:rsid w:val="009A06F9"/>
    <w:rsid w:val="009A0897"/>
    <w:rsid w:val="009A0DB8"/>
    <w:rsid w:val="009A1F6E"/>
    <w:rsid w:val="009A2138"/>
    <w:rsid w:val="009A239A"/>
    <w:rsid w:val="009A4FF5"/>
    <w:rsid w:val="009A6C6E"/>
    <w:rsid w:val="009A7690"/>
    <w:rsid w:val="009B062C"/>
    <w:rsid w:val="009B1355"/>
    <w:rsid w:val="009B2554"/>
    <w:rsid w:val="009B28CF"/>
    <w:rsid w:val="009B4308"/>
    <w:rsid w:val="009B439F"/>
    <w:rsid w:val="009B498D"/>
    <w:rsid w:val="009B5150"/>
    <w:rsid w:val="009B6084"/>
    <w:rsid w:val="009C044E"/>
    <w:rsid w:val="009C0946"/>
    <w:rsid w:val="009C3E2C"/>
    <w:rsid w:val="009C4FC7"/>
    <w:rsid w:val="009C5015"/>
    <w:rsid w:val="009C5355"/>
    <w:rsid w:val="009C6EC8"/>
    <w:rsid w:val="009C7826"/>
    <w:rsid w:val="009D2778"/>
    <w:rsid w:val="009D3C26"/>
    <w:rsid w:val="009D40DE"/>
    <w:rsid w:val="009D44F8"/>
    <w:rsid w:val="009D78FA"/>
    <w:rsid w:val="009E127C"/>
    <w:rsid w:val="009E1D27"/>
    <w:rsid w:val="009E24F2"/>
    <w:rsid w:val="009E2803"/>
    <w:rsid w:val="009E3789"/>
    <w:rsid w:val="009E4203"/>
    <w:rsid w:val="009E4402"/>
    <w:rsid w:val="009E547D"/>
    <w:rsid w:val="009E5BFD"/>
    <w:rsid w:val="009E64C9"/>
    <w:rsid w:val="009E77F6"/>
    <w:rsid w:val="009E7BAB"/>
    <w:rsid w:val="009F13E6"/>
    <w:rsid w:val="009F173D"/>
    <w:rsid w:val="009F1925"/>
    <w:rsid w:val="009F1B41"/>
    <w:rsid w:val="009F27AB"/>
    <w:rsid w:val="009F2B18"/>
    <w:rsid w:val="009F33A2"/>
    <w:rsid w:val="009F41A6"/>
    <w:rsid w:val="009F518F"/>
    <w:rsid w:val="009F6319"/>
    <w:rsid w:val="009F7387"/>
    <w:rsid w:val="00A009A5"/>
    <w:rsid w:val="00A00C97"/>
    <w:rsid w:val="00A00FF9"/>
    <w:rsid w:val="00A023FA"/>
    <w:rsid w:val="00A02DE5"/>
    <w:rsid w:val="00A03125"/>
    <w:rsid w:val="00A03AEC"/>
    <w:rsid w:val="00A04261"/>
    <w:rsid w:val="00A049EB"/>
    <w:rsid w:val="00A0550D"/>
    <w:rsid w:val="00A05A6B"/>
    <w:rsid w:val="00A05CB0"/>
    <w:rsid w:val="00A06539"/>
    <w:rsid w:val="00A06ED9"/>
    <w:rsid w:val="00A07411"/>
    <w:rsid w:val="00A07F93"/>
    <w:rsid w:val="00A1094C"/>
    <w:rsid w:val="00A10AF3"/>
    <w:rsid w:val="00A11F06"/>
    <w:rsid w:val="00A126A0"/>
    <w:rsid w:val="00A13036"/>
    <w:rsid w:val="00A15235"/>
    <w:rsid w:val="00A15CA2"/>
    <w:rsid w:val="00A21DF7"/>
    <w:rsid w:val="00A22A5C"/>
    <w:rsid w:val="00A23AE0"/>
    <w:rsid w:val="00A240D2"/>
    <w:rsid w:val="00A244F1"/>
    <w:rsid w:val="00A25AE1"/>
    <w:rsid w:val="00A25D6D"/>
    <w:rsid w:val="00A27DBE"/>
    <w:rsid w:val="00A30B2E"/>
    <w:rsid w:val="00A30C0C"/>
    <w:rsid w:val="00A313FE"/>
    <w:rsid w:val="00A31715"/>
    <w:rsid w:val="00A325C5"/>
    <w:rsid w:val="00A3346C"/>
    <w:rsid w:val="00A335EC"/>
    <w:rsid w:val="00A3438F"/>
    <w:rsid w:val="00A350AD"/>
    <w:rsid w:val="00A3673A"/>
    <w:rsid w:val="00A36E12"/>
    <w:rsid w:val="00A37420"/>
    <w:rsid w:val="00A37D23"/>
    <w:rsid w:val="00A37E7F"/>
    <w:rsid w:val="00A4043B"/>
    <w:rsid w:val="00A40900"/>
    <w:rsid w:val="00A42530"/>
    <w:rsid w:val="00A43D5D"/>
    <w:rsid w:val="00A4401C"/>
    <w:rsid w:val="00A4482B"/>
    <w:rsid w:val="00A455FF"/>
    <w:rsid w:val="00A4681E"/>
    <w:rsid w:val="00A46A7C"/>
    <w:rsid w:val="00A46AA0"/>
    <w:rsid w:val="00A46D65"/>
    <w:rsid w:val="00A470CC"/>
    <w:rsid w:val="00A5132E"/>
    <w:rsid w:val="00A545A1"/>
    <w:rsid w:val="00A54EEB"/>
    <w:rsid w:val="00A558D9"/>
    <w:rsid w:val="00A55A9F"/>
    <w:rsid w:val="00A57EA7"/>
    <w:rsid w:val="00A6193E"/>
    <w:rsid w:val="00A62047"/>
    <w:rsid w:val="00A630D6"/>
    <w:rsid w:val="00A6495C"/>
    <w:rsid w:val="00A6616E"/>
    <w:rsid w:val="00A709D7"/>
    <w:rsid w:val="00A71C5E"/>
    <w:rsid w:val="00A71CCD"/>
    <w:rsid w:val="00A729FD"/>
    <w:rsid w:val="00A73A96"/>
    <w:rsid w:val="00A74354"/>
    <w:rsid w:val="00A75C8F"/>
    <w:rsid w:val="00A76831"/>
    <w:rsid w:val="00A80FE6"/>
    <w:rsid w:val="00A82BA6"/>
    <w:rsid w:val="00A8499D"/>
    <w:rsid w:val="00A8733E"/>
    <w:rsid w:val="00A875F7"/>
    <w:rsid w:val="00A905ED"/>
    <w:rsid w:val="00A9136E"/>
    <w:rsid w:val="00A91E92"/>
    <w:rsid w:val="00A92085"/>
    <w:rsid w:val="00A92128"/>
    <w:rsid w:val="00A93AA7"/>
    <w:rsid w:val="00A93DF2"/>
    <w:rsid w:val="00A9573A"/>
    <w:rsid w:val="00A95B77"/>
    <w:rsid w:val="00A96519"/>
    <w:rsid w:val="00A96E90"/>
    <w:rsid w:val="00AA0792"/>
    <w:rsid w:val="00AA0E2F"/>
    <w:rsid w:val="00AA139C"/>
    <w:rsid w:val="00AA1D96"/>
    <w:rsid w:val="00AA1FF0"/>
    <w:rsid w:val="00AA4640"/>
    <w:rsid w:val="00AA4B90"/>
    <w:rsid w:val="00AA54F5"/>
    <w:rsid w:val="00AA57C8"/>
    <w:rsid w:val="00AA6772"/>
    <w:rsid w:val="00AB19B1"/>
    <w:rsid w:val="00AB3B60"/>
    <w:rsid w:val="00AB4830"/>
    <w:rsid w:val="00AB7300"/>
    <w:rsid w:val="00AC0F06"/>
    <w:rsid w:val="00AC1D51"/>
    <w:rsid w:val="00AC25B9"/>
    <w:rsid w:val="00AC3431"/>
    <w:rsid w:val="00AC51A0"/>
    <w:rsid w:val="00AC551F"/>
    <w:rsid w:val="00AC684F"/>
    <w:rsid w:val="00AC6942"/>
    <w:rsid w:val="00AC70C0"/>
    <w:rsid w:val="00AD07EC"/>
    <w:rsid w:val="00AD2749"/>
    <w:rsid w:val="00AD3325"/>
    <w:rsid w:val="00AD3D77"/>
    <w:rsid w:val="00AD472F"/>
    <w:rsid w:val="00AD5455"/>
    <w:rsid w:val="00AD61CF"/>
    <w:rsid w:val="00AD64F8"/>
    <w:rsid w:val="00AD6801"/>
    <w:rsid w:val="00AD7447"/>
    <w:rsid w:val="00AE0F8D"/>
    <w:rsid w:val="00AE1650"/>
    <w:rsid w:val="00AE34F0"/>
    <w:rsid w:val="00AE3BF9"/>
    <w:rsid w:val="00AE452D"/>
    <w:rsid w:val="00AE4AC6"/>
    <w:rsid w:val="00AE52C9"/>
    <w:rsid w:val="00AE6AC0"/>
    <w:rsid w:val="00AF0A14"/>
    <w:rsid w:val="00AF1FB2"/>
    <w:rsid w:val="00AF3372"/>
    <w:rsid w:val="00AF33F3"/>
    <w:rsid w:val="00AF57FD"/>
    <w:rsid w:val="00AF68AA"/>
    <w:rsid w:val="00AF6B5F"/>
    <w:rsid w:val="00AF6D00"/>
    <w:rsid w:val="00AF7271"/>
    <w:rsid w:val="00AF7739"/>
    <w:rsid w:val="00B021B8"/>
    <w:rsid w:val="00B03C92"/>
    <w:rsid w:val="00B04F39"/>
    <w:rsid w:val="00B0537F"/>
    <w:rsid w:val="00B0736D"/>
    <w:rsid w:val="00B07DDC"/>
    <w:rsid w:val="00B10791"/>
    <w:rsid w:val="00B10E2A"/>
    <w:rsid w:val="00B1152F"/>
    <w:rsid w:val="00B1529B"/>
    <w:rsid w:val="00B159C2"/>
    <w:rsid w:val="00B162D3"/>
    <w:rsid w:val="00B176F3"/>
    <w:rsid w:val="00B179F7"/>
    <w:rsid w:val="00B21C38"/>
    <w:rsid w:val="00B22157"/>
    <w:rsid w:val="00B2253E"/>
    <w:rsid w:val="00B23CFF"/>
    <w:rsid w:val="00B24036"/>
    <w:rsid w:val="00B26D3E"/>
    <w:rsid w:val="00B26F85"/>
    <w:rsid w:val="00B2770A"/>
    <w:rsid w:val="00B27D32"/>
    <w:rsid w:val="00B30814"/>
    <w:rsid w:val="00B31594"/>
    <w:rsid w:val="00B31864"/>
    <w:rsid w:val="00B32B5D"/>
    <w:rsid w:val="00B33E00"/>
    <w:rsid w:val="00B36A90"/>
    <w:rsid w:val="00B36D7C"/>
    <w:rsid w:val="00B36EBE"/>
    <w:rsid w:val="00B37896"/>
    <w:rsid w:val="00B37B23"/>
    <w:rsid w:val="00B37C95"/>
    <w:rsid w:val="00B37F79"/>
    <w:rsid w:val="00B40A7A"/>
    <w:rsid w:val="00B40D5B"/>
    <w:rsid w:val="00B41033"/>
    <w:rsid w:val="00B42F1F"/>
    <w:rsid w:val="00B441D3"/>
    <w:rsid w:val="00B44ADF"/>
    <w:rsid w:val="00B5007F"/>
    <w:rsid w:val="00B50BBD"/>
    <w:rsid w:val="00B516DD"/>
    <w:rsid w:val="00B52279"/>
    <w:rsid w:val="00B52FD6"/>
    <w:rsid w:val="00B53F4F"/>
    <w:rsid w:val="00B5499B"/>
    <w:rsid w:val="00B55DB4"/>
    <w:rsid w:val="00B6009B"/>
    <w:rsid w:val="00B608B4"/>
    <w:rsid w:val="00B6211C"/>
    <w:rsid w:val="00B62E73"/>
    <w:rsid w:val="00B62FB9"/>
    <w:rsid w:val="00B64120"/>
    <w:rsid w:val="00B642E3"/>
    <w:rsid w:val="00B662C8"/>
    <w:rsid w:val="00B66C03"/>
    <w:rsid w:val="00B71D99"/>
    <w:rsid w:val="00B730AF"/>
    <w:rsid w:val="00B736CF"/>
    <w:rsid w:val="00B736F4"/>
    <w:rsid w:val="00B73A34"/>
    <w:rsid w:val="00B74358"/>
    <w:rsid w:val="00B7499E"/>
    <w:rsid w:val="00B758CC"/>
    <w:rsid w:val="00B770E9"/>
    <w:rsid w:val="00B808AF"/>
    <w:rsid w:val="00B81466"/>
    <w:rsid w:val="00B8195C"/>
    <w:rsid w:val="00B824C2"/>
    <w:rsid w:val="00B828CB"/>
    <w:rsid w:val="00B82DD2"/>
    <w:rsid w:val="00B836AA"/>
    <w:rsid w:val="00B85942"/>
    <w:rsid w:val="00B865A6"/>
    <w:rsid w:val="00B9082C"/>
    <w:rsid w:val="00B920A8"/>
    <w:rsid w:val="00B920AF"/>
    <w:rsid w:val="00B922CB"/>
    <w:rsid w:val="00B93093"/>
    <w:rsid w:val="00B97465"/>
    <w:rsid w:val="00B97851"/>
    <w:rsid w:val="00B97B95"/>
    <w:rsid w:val="00BA0F83"/>
    <w:rsid w:val="00BA16D4"/>
    <w:rsid w:val="00BA1705"/>
    <w:rsid w:val="00BA1708"/>
    <w:rsid w:val="00BA2C97"/>
    <w:rsid w:val="00BA34E1"/>
    <w:rsid w:val="00BA3875"/>
    <w:rsid w:val="00BA4BF7"/>
    <w:rsid w:val="00BA4F52"/>
    <w:rsid w:val="00BA4F91"/>
    <w:rsid w:val="00BA5135"/>
    <w:rsid w:val="00BA63A7"/>
    <w:rsid w:val="00BA6595"/>
    <w:rsid w:val="00BB0622"/>
    <w:rsid w:val="00BB1AB2"/>
    <w:rsid w:val="00BB3648"/>
    <w:rsid w:val="00BB463A"/>
    <w:rsid w:val="00BB7D62"/>
    <w:rsid w:val="00BC078A"/>
    <w:rsid w:val="00BC1125"/>
    <w:rsid w:val="00BC22AB"/>
    <w:rsid w:val="00BC6153"/>
    <w:rsid w:val="00BC6279"/>
    <w:rsid w:val="00BC781A"/>
    <w:rsid w:val="00BD242C"/>
    <w:rsid w:val="00BD2B95"/>
    <w:rsid w:val="00BD5B4F"/>
    <w:rsid w:val="00BD6826"/>
    <w:rsid w:val="00BD6866"/>
    <w:rsid w:val="00BD7657"/>
    <w:rsid w:val="00BD79B7"/>
    <w:rsid w:val="00BE0FDE"/>
    <w:rsid w:val="00BE24D6"/>
    <w:rsid w:val="00BE387A"/>
    <w:rsid w:val="00BE486C"/>
    <w:rsid w:val="00BE55A1"/>
    <w:rsid w:val="00BE5885"/>
    <w:rsid w:val="00BE6C83"/>
    <w:rsid w:val="00BE6CFF"/>
    <w:rsid w:val="00BF10EC"/>
    <w:rsid w:val="00BF25F0"/>
    <w:rsid w:val="00BF2E2D"/>
    <w:rsid w:val="00BF2EBE"/>
    <w:rsid w:val="00BF3476"/>
    <w:rsid w:val="00BF35DC"/>
    <w:rsid w:val="00BF37C3"/>
    <w:rsid w:val="00BF4938"/>
    <w:rsid w:val="00BF62D6"/>
    <w:rsid w:val="00BF66E3"/>
    <w:rsid w:val="00C01082"/>
    <w:rsid w:val="00C013D8"/>
    <w:rsid w:val="00C01B5B"/>
    <w:rsid w:val="00C02617"/>
    <w:rsid w:val="00C027EC"/>
    <w:rsid w:val="00C02948"/>
    <w:rsid w:val="00C04C66"/>
    <w:rsid w:val="00C10BE1"/>
    <w:rsid w:val="00C11767"/>
    <w:rsid w:val="00C117D7"/>
    <w:rsid w:val="00C11A55"/>
    <w:rsid w:val="00C123B4"/>
    <w:rsid w:val="00C12484"/>
    <w:rsid w:val="00C14038"/>
    <w:rsid w:val="00C1406F"/>
    <w:rsid w:val="00C14922"/>
    <w:rsid w:val="00C15241"/>
    <w:rsid w:val="00C159B8"/>
    <w:rsid w:val="00C15A43"/>
    <w:rsid w:val="00C15C89"/>
    <w:rsid w:val="00C16E2D"/>
    <w:rsid w:val="00C20180"/>
    <w:rsid w:val="00C2021A"/>
    <w:rsid w:val="00C20CCB"/>
    <w:rsid w:val="00C22709"/>
    <w:rsid w:val="00C22865"/>
    <w:rsid w:val="00C229BE"/>
    <w:rsid w:val="00C231BD"/>
    <w:rsid w:val="00C24232"/>
    <w:rsid w:val="00C24936"/>
    <w:rsid w:val="00C25AFE"/>
    <w:rsid w:val="00C26AF1"/>
    <w:rsid w:val="00C30883"/>
    <w:rsid w:val="00C308C3"/>
    <w:rsid w:val="00C324CD"/>
    <w:rsid w:val="00C32DB1"/>
    <w:rsid w:val="00C34762"/>
    <w:rsid w:val="00C355C0"/>
    <w:rsid w:val="00C376DA"/>
    <w:rsid w:val="00C378DE"/>
    <w:rsid w:val="00C40085"/>
    <w:rsid w:val="00C40DBA"/>
    <w:rsid w:val="00C431C6"/>
    <w:rsid w:val="00C44913"/>
    <w:rsid w:val="00C45DA2"/>
    <w:rsid w:val="00C46843"/>
    <w:rsid w:val="00C47A4A"/>
    <w:rsid w:val="00C47C8D"/>
    <w:rsid w:val="00C5035A"/>
    <w:rsid w:val="00C51326"/>
    <w:rsid w:val="00C5158E"/>
    <w:rsid w:val="00C516F1"/>
    <w:rsid w:val="00C55CEF"/>
    <w:rsid w:val="00C570B1"/>
    <w:rsid w:val="00C6202C"/>
    <w:rsid w:val="00C62F75"/>
    <w:rsid w:val="00C6372F"/>
    <w:rsid w:val="00C63FDC"/>
    <w:rsid w:val="00C669D0"/>
    <w:rsid w:val="00C675A3"/>
    <w:rsid w:val="00C67FE6"/>
    <w:rsid w:val="00C71DC5"/>
    <w:rsid w:val="00C736A5"/>
    <w:rsid w:val="00C816A5"/>
    <w:rsid w:val="00C82DB8"/>
    <w:rsid w:val="00C83821"/>
    <w:rsid w:val="00C83897"/>
    <w:rsid w:val="00C84178"/>
    <w:rsid w:val="00C84D6A"/>
    <w:rsid w:val="00C85726"/>
    <w:rsid w:val="00C85731"/>
    <w:rsid w:val="00C8724A"/>
    <w:rsid w:val="00C90260"/>
    <w:rsid w:val="00C916AA"/>
    <w:rsid w:val="00C938F8"/>
    <w:rsid w:val="00C9426B"/>
    <w:rsid w:val="00C9647F"/>
    <w:rsid w:val="00C96E43"/>
    <w:rsid w:val="00C97E29"/>
    <w:rsid w:val="00CA2223"/>
    <w:rsid w:val="00CA3D1A"/>
    <w:rsid w:val="00CA5C22"/>
    <w:rsid w:val="00CA6150"/>
    <w:rsid w:val="00CA625E"/>
    <w:rsid w:val="00CA68B0"/>
    <w:rsid w:val="00CA7446"/>
    <w:rsid w:val="00CB1391"/>
    <w:rsid w:val="00CB1E39"/>
    <w:rsid w:val="00CB43C5"/>
    <w:rsid w:val="00CB4798"/>
    <w:rsid w:val="00CB5878"/>
    <w:rsid w:val="00CB6D75"/>
    <w:rsid w:val="00CB76F2"/>
    <w:rsid w:val="00CC1857"/>
    <w:rsid w:val="00CC1BDB"/>
    <w:rsid w:val="00CC2369"/>
    <w:rsid w:val="00CC294D"/>
    <w:rsid w:val="00CC2B1B"/>
    <w:rsid w:val="00CC32B1"/>
    <w:rsid w:val="00CC4652"/>
    <w:rsid w:val="00CC4DEB"/>
    <w:rsid w:val="00CC524C"/>
    <w:rsid w:val="00CC57A8"/>
    <w:rsid w:val="00CC7020"/>
    <w:rsid w:val="00CC7371"/>
    <w:rsid w:val="00CD090E"/>
    <w:rsid w:val="00CD129D"/>
    <w:rsid w:val="00CD1BD1"/>
    <w:rsid w:val="00CD33F7"/>
    <w:rsid w:val="00CD3633"/>
    <w:rsid w:val="00CD3A12"/>
    <w:rsid w:val="00CD53FF"/>
    <w:rsid w:val="00CD59B6"/>
    <w:rsid w:val="00CD7037"/>
    <w:rsid w:val="00CE0846"/>
    <w:rsid w:val="00CE0DC4"/>
    <w:rsid w:val="00CE290A"/>
    <w:rsid w:val="00CE2D48"/>
    <w:rsid w:val="00CE34A7"/>
    <w:rsid w:val="00CE350E"/>
    <w:rsid w:val="00CE3B6C"/>
    <w:rsid w:val="00CE5569"/>
    <w:rsid w:val="00CE57A2"/>
    <w:rsid w:val="00CE5852"/>
    <w:rsid w:val="00CE6ADE"/>
    <w:rsid w:val="00CF03B9"/>
    <w:rsid w:val="00CF13A6"/>
    <w:rsid w:val="00CF2A70"/>
    <w:rsid w:val="00CF3C01"/>
    <w:rsid w:val="00CF5EEE"/>
    <w:rsid w:val="00CF6411"/>
    <w:rsid w:val="00D038F3"/>
    <w:rsid w:val="00D047A3"/>
    <w:rsid w:val="00D05103"/>
    <w:rsid w:val="00D0765C"/>
    <w:rsid w:val="00D107BB"/>
    <w:rsid w:val="00D1090E"/>
    <w:rsid w:val="00D12696"/>
    <w:rsid w:val="00D12703"/>
    <w:rsid w:val="00D1447B"/>
    <w:rsid w:val="00D15DB0"/>
    <w:rsid w:val="00D20AAC"/>
    <w:rsid w:val="00D30C63"/>
    <w:rsid w:val="00D30FE1"/>
    <w:rsid w:val="00D32E57"/>
    <w:rsid w:val="00D34343"/>
    <w:rsid w:val="00D345FF"/>
    <w:rsid w:val="00D35106"/>
    <w:rsid w:val="00D35E54"/>
    <w:rsid w:val="00D36046"/>
    <w:rsid w:val="00D37A6B"/>
    <w:rsid w:val="00D40432"/>
    <w:rsid w:val="00D41A8F"/>
    <w:rsid w:val="00D42B62"/>
    <w:rsid w:val="00D438DC"/>
    <w:rsid w:val="00D465B2"/>
    <w:rsid w:val="00D46800"/>
    <w:rsid w:val="00D47931"/>
    <w:rsid w:val="00D50319"/>
    <w:rsid w:val="00D508B0"/>
    <w:rsid w:val="00D50E7C"/>
    <w:rsid w:val="00D5215D"/>
    <w:rsid w:val="00D5295F"/>
    <w:rsid w:val="00D5315B"/>
    <w:rsid w:val="00D53DD3"/>
    <w:rsid w:val="00D55FDA"/>
    <w:rsid w:val="00D63626"/>
    <w:rsid w:val="00D6586D"/>
    <w:rsid w:val="00D66042"/>
    <w:rsid w:val="00D669E2"/>
    <w:rsid w:val="00D66AD0"/>
    <w:rsid w:val="00D717F7"/>
    <w:rsid w:val="00D7505F"/>
    <w:rsid w:val="00D75894"/>
    <w:rsid w:val="00D80A0F"/>
    <w:rsid w:val="00D80BA6"/>
    <w:rsid w:val="00D821DF"/>
    <w:rsid w:val="00D82C26"/>
    <w:rsid w:val="00D83929"/>
    <w:rsid w:val="00D84A94"/>
    <w:rsid w:val="00D86213"/>
    <w:rsid w:val="00D86835"/>
    <w:rsid w:val="00D91C84"/>
    <w:rsid w:val="00D926DD"/>
    <w:rsid w:val="00D92C57"/>
    <w:rsid w:val="00D9311B"/>
    <w:rsid w:val="00D93B6A"/>
    <w:rsid w:val="00D95615"/>
    <w:rsid w:val="00D96961"/>
    <w:rsid w:val="00D975EC"/>
    <w:rsid w:val="00DA085C"/>
    <w:rsid w:val="00DA0BDD"/>
    <w:rsid w:val="00DA2512"/>
    <w:rsid w:val="00DA26EB"/>
    <w:rsid w:val="00DA48EA"/>
    <w:rsid w:val="00DA4998"/>
    <w:rsid w:val="00DA6BA8"/>
    <w:rsid w:val="00DB0457"/>
    <w:rsid w:val="00DB0CEF"/>
    <w:rsid w:val="00DB1692"/>
    <w:rsid w:val="00DB2073"/>
    <w:rsid w:val="00DB3036"/>
    <w:rsid w:val="00DB5CD0"/>
    <w:rsid w:val="00DB626C"/>
    <w:rsid w:val="00DB6A25"/>
    <w:rsid w:val="00DB6B99"/>
    <w:rsid w:val="00DB717D"/>
    <w:rsid w:val="00DC04B4"/>
    <w:rsid w:val="00DC14A3"/>
    <w:rsid w:val="00DC1FBE"/>
    <w:rsid w:val="00DC329B"/>
    <w:rsid w:val="00DC457D"/>
    <w:rsid w:val="00DC502C"/>
    <w:rsid w:val="00DC5425"/>
    <w:rsid w:val="00DC7AA0"/>
    <w:rsid w:val="00DC7B49"/>
    <w:rsid w:val="00DC7E73"/>
    <w:rsid w:val="00DD125E"/>
    <w:rsid w:val="00DD15DB"/>
    <w:rsid w:val="00DD1848"/>
    <w:rsid w:val="00DD27AC"/>
    <w:rsid w:val="00DD386B"/>
    <w:rsid w:val="00DD3D2B"/>
    <w:rsid w:val="00DD4A88"/>
    <w:rsid w:val="00DD5917"/>
    <w:rsid w:val="00DE1145"/>
    <w:rsid w:val="00DE1642"/>
    <w:rsid w:val="00DE3696"/>
    <w:rsid w:val="00DE47ED"/>
    <w:rsid w:val="00DE6640"/>
    <w:rsid w:val="00DF0DCD"/>
    <w:rsid w:val="00DF472E"/>
    <w:rsid w:val="00DF5E28"/>
    <w:rsid w:val="00DF5EE1"/>
    <w:rsid w:val="00DF6756"/>
    <w:rsid w:val="00E02882"/>
    <w:rsid w:val="00E04D58"/>
    <w:rsid w:val="00E061AE"/>
    <w:rsid w:val="00E079E6"/>
    <w:rsid w:val="00E100D2"/>
    <w:rsid w:val="00E11CD0"/>
    <w:rsid w:val="00E138F0"/>
    <w:rsid w:val="00E141E7"/>
    <w:rsid w:val="00E144D9"/>
    <w:rsid w:val="00E146D0"/>
    <w:rsid w:val="00E15347"/>
    <w:rsid w:val="00E153A9"/>
    <w:rsid w:val="00E1745D"/>
    <w:rsid w:val="00E2177B"/>
    <w:rsid w:val="00E21C68"/>
    <w:rsid w:val="00E21D44"/>
    <w:rsid w:val="00E21E5D"/>
    <w:rsid w:val="00E2283B"/>
    <w:rsid w:val="00E26AF5"/>
    <w:rsid w:val="00E26E13"/>
    <w:rsid w:val="00E31BFD"/>
    <w:rsid w:val="00E31C0C"/>
    <w:rsid w:val="00E3380E"/>
    <w:rsid w:val="00E411F9"/>
    <w:rsid w:val="00E44363"/>
    <w:rsid w:val="00E44C3B"/>
    <w:rsid w:val="00E44E92"/>
    <w:rsid w:val="00E45AA5"/>
    <w:rsid w:val="00E45BA4"/>
    <w:rsid w:val="00E4639D"/>
    <w:rsid w:val="00E4740E"/>
    <w:rsid w:val="00E518E3"/>
    <w:rsid w:val="00E52872"/>
    <w:rsid w:val="00E53DCB"/>
    <w:rsid w:val="00E54B22"/>
    <w:rsid w:val="00E55D92"/>
    <w:rsid w:val="00E57BA0"/>
    <w:rsid w:val="00E6006C"/>
    <w:rsid w:val="00E61655"/>
    <w:rsid w:val="00E6171D"/>
    <w:rsid w:val="00E621FB"/>
    <w:rsid w:val="00E62309"/>
    <w:rsid w:val="00E62E2D"/>
    <w:rsid w:val="00E63F6B"/>
    <w:rsid w:val="00E64944"/>
    <w:rsid w:val="00E653B9"/>
    <w:rsid w:val="00E6646E"/>
    <w:rsid w:val="00E66CD3"/>
    <w:rsid w:val="00E67ABE"/>
    <w:rsid w:val="00E704BC"/>
    <w:rsid w:val="00E7158B"/>
    <w:rsid w:val="00E72030"/>
    <w:rsid w:val="00E73E1E"/>
    <w:rsid w:val="00E74C44"/>
    <w:rsid w:val="00E750F4"/>
    <w:rsid w:val="00E75E9C"/>
    <w:rsid w:val="00E76261"/>
    <w:rsid w:val="00E768B7"/>
    <w:rsid w:val="00E77403"/>
    <w:rsid w:val="00E77ACB"/>
    <w:rsid w:val="00E81BC9"/>
    <w:rsid w:val="00E8308A"/>
    <w:rsid w:val="00E84100"/>
    <w:rsid w:val="00E91E83"/>
    <w:rsid w:val="00E93D0D"/>
    <w:rsid w:val="00E95C38"/>
    <w:rsid w:val="00E96666"/>
    <w:rsid w:val="00EA0F76"/>
    <w:rsid w:val="00EA18AA"/>
    <w:rsid w:val="00EA1CC2"/>
    <w:rsid w:val="00EA38BF"/>
    <w:rsid w:val="00EA5B41"/>
    <w:rsid w:val="00EA5E8B"/>
    <w:rsid w:val="00EA5F3F"/>
    <w:rsid w:val="00EA717F"/>
    <w:rsid w:val="00EA7521"/>
    <w:rsid w:val="00EA76E7"/>
    <w:rsid w:val="00EB0437"/>
    <w:rsid w:val="00EB19C1"/>
    <w:rsid w:val="00EB38EF"/>
    <w:rsid w:val="00EB3C70"/>
    <w:rsid w:val="00EB4F27"/>
    <w:rsid w:val="00EB5DA8"/>
    <w:rsid w:val="00EC037B"/>
    <w:rsid w:val="00EC09BC"/>
    <w:rsid w:val="00EC0DAD"/>
    <w:rsid w:val="00EC1638"/>
    <w:rsid w:val="00EC2036"/>
    <w:rsid w:val="00EC5C85"/>
    <w:rsid w:val="00EC7EF0"/>
    <w:rsid w:val="00ED13BC"/>
    <w:rsid w:val="00ED1617"/>
    <w:rsid w:val="00ED25AF"/>
    <w:rsid w:val="00ED3046"/>
    <w:rsid w:val="00ED3731"/>
    <w:rsid w:val="00ED379E"/>
    <w:rsid w:val="00ED4E97"/>
    <w:rsid w:val="00ED5C59"/>
    <w:rsid w:val="00ED5FB2"/>
    <w:rsid w:val="00ED7152"/>
    <w:rsid w:val="00ED736A"/>
    <w:rsid w:val="00ED7DEF"/>
    <w:rsid w:val="00EE3CA8"/>
    <w:rsid w:val="00EE5132"/>
    <w:rsid w:val="00EE671E"/>
    <w:rsid w:val="00EE6DBC"/>
    <w:rsid w:val="00EE7424"/>
    <w:rsid w:val="00EF0B65"/>
    <w:rsid w:val="00EF0C31"/>
    <w:rsid w:val="00EF18D0"/>
    <w:rsid w:val="00EF1C77"/>
    <w:rsid w:val="00EF2394"/>
    <w:rsid w:val="00EF29CC"/>
    <w:rsid w:val="00EF42DD"/>
    <w:rsid w:val="00EF5E01"/>
    <w:rsid w:val="00EF7B50"/>
    <w:rsid w:val="00EF7FD9"/>
    <w:rsid w:val="00F00C4D"/>
    <w:rsid w:val="00F03319"/>
    <w:rsid w:val="00F0347E"/>
    <w:rsid w:val="00F048CC"/>
    <w:rsid w:val="00F068BC"/>
    <w:rsid w:val="00F07B8F"/>
    <w:rsid w:val="00F1013E"/>
    <w:rsid w:val="00F11EAC"/>
    <w:rsid w:val="00F12913"/>
    <w:rsid w:val="00F12F41"/>
    <w:rsid w:val="00F143FA"/>
    <w:rsid w:val="00F16D64"/>
    <w:rsid w:val="00F16E24"/>
    <w:rsid w:val="00F20BA6"/>
    <w:rsid w:val="00F213A3"/>
    <w:rsid w:val="00F22C0A"/>
    <w:rsid w:val="00F22C4A"/>
    <w:rsid w:val="00F22E9E"/>
    <w:rsid w:val="00F23DAE"/>
    <w:rsid w:val="00F270D7"/>
    <w:rsid w:val="00F27742"/>
    <w:rsid w:val="00F278EE"/>
    <w:rsid w:val="00F27F52"/>
    <w:rsid w:val="00F30F63"/>
    <w:rsid w:val="00F315FE"/>
    <w:rsid w:val="00F33803"/>
    <w:rsid w:val="00F349D1"/>
    <w:rsid w:val="00F34EE4"/>
    <w:rsid w:val="00F3517D"/>
    <w:rsid w:val="00F35209"/>
    <w:rsid w:val="00F35820"/>
    <w:rsid w:val="00F35A0E"/>
    <w:rsid w:val="00F35F14"/>
    <w:rsid w:val="00F3676F"/>
    <w:rsid w:val="00F36A84"/>
    <w:rsid w:val="00F37BBA"/>
    <w:rsid w:val="00F37F1B"/>
    <w:rsid w:val="00F400B6"/>
    <w:rsid w:val="00F43875"/>
    <w:rsid w:val="00F4454C"/>
    <w:rsid w:val="00F458F8"/>
    <w:rsid w:val="00F45961"/>
    <w:rsid w:val="00F45B35"/>
    <w:rsid w:val="00F45E8D"/>
    <w:rsid w:val="00F479DA"/>
    <w:rsid w:val="00F524E9"/>
    <w:rsid w:val="00F528F7"/>
    <w:rsid w:val="00F53BB5"/>
    <w:rsid w:val="00F5425C"/>
    <w:rsid w:val="00F559FA"/>
    <w:rsid w:val="00F6164D"/>
    <w:rsid w:val="00F61B4A"/>
    <w:rsid w:val="00F6217B"/>
    <w:rsid w:val="00F62C6C"/>
    <w:rsid w:val="00F63659"/>
    <w:rsid w:val="00F642DF"/>
    <w:rsid w:val="00F64EDD"/>
    <w:rsid w:val="00F654E9"/>
    <w:rsid w:val="00F66ECF"/>
    <w:rsid w:val="00F67E52"/>
    <w:rsid w:val="00F71058"/>
    <w:rsid w:val="00F74A5E"/>
    <w:rsid w:val="00F74C24"/>
    <w:rsid w:val="00F75458"/>
    <w:rsid w:val="00F76603"/>
    <w:rsid w:val="00F773FB"/>
    <w:rsid w:val="00F822F6"/>
    <w:rsid w:val="00F82564"/>
    <w:rsid w:val="00F85C62"/>
    <w:rsid w:val="00F875A3"/>
    <w:rsid w:val="00F87D9C"/>
    <w:rsid w:val="00F90E42"/>
    <w:rsid w:val="00F9146D"/>
    <w:rsid w:val="00F916A7"/>
    <w:rsid w:val="00F93B4A"/>
    <w:rsid w:val="00F959CD"/>
    <w:rsid w:val="00F97A87"/>
    <w:rsid w:val="00FA0D1C"/>
    <w:rsid w:val="00FA137C"/>
    <w:rsid w:val="00FA2119"/>
    <w:rsid w:val="00FA256D"/>
    <w:rsid w:val="00FA5752"/>
    <w:rsid w:val="00FB044C"/>
    <w:rsid w:val="00FB0F46"/>
    <w:rsid w:val="00FB21F6"/>
    <w:rsid w:val="00FB4213"/>
    <w:rsid w:val="00FB47BD"/>
    <w:rsid w:val="00FB57F5"/>
    <w:rsid w:val="00FB617B"/>
    <w:rsid w:val="00FC1138"/>
    <w:rsid w:val="00FC2CA0"/>
    <w:rsid w:val="00FC50AD"/>
    <w:rsid w:val="00FD00F9"/>
    <w:rsid w:val="00FD0B49"/>
    <w:rsid w:val="00FD2C4D"/>
    <w:rsid w:val="00FD2E0C"/>
    <w:rsid w:val="00FD4813"/>
    <w:rsid w:val="00FD50A5"/>
    <w:rsid w:val="00FD532A"/>
    <w:rsid w:val="00FD57E3"/>
    <w:rsid w:val="00FD681F"/>
    <w:rsid w:val="00FD6E2C"/>
    <w:rsid w:val="00FD713D"/>
    <w:rsid w:val="00FD73D1"/>
    <w:rsid w:val="00FE025B"/>
    <w:rsid w:val="00FE0482"/>
    <w:rsid w:val="00FE1330"/>
    <w:rsid w:val="00FE1883"/>
    <w:rsid w:val="00FE20A3"/>
    <w:rsid w:val="00FE554F"/>
    <w:rsid w:val="00FE59B4"/>
    <w:rsid w:val="00FF34B3"/>
    <w:rsid w:val="00FF3A0A"/>
    <w:rsid w:val="00FF5E01"/>
    <w:rsid w:val="00FF67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BE55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9C78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7B3435"/>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642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E55A1"/>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BE55A1"/>
    <w:pPr>
      <w:ind w:left="720"/>
      <w:contextualSpacing/>
    </w:pPr>
  </w:style>
  <w:style w:type="character" w:customStyle="1" w:styleId="Kop2Char">
    <w:name w:val="Kop 2 Char"/>
    <w:basedOn w:val="Standaardalinea-lettertype"/>
    <w:link w:val="Kop2"/>
    <w:uiPriority w:val="9"/>
    <w:rsid w:val="009C7826"/>
    <w:rPr>
      <w:rFonts w:asciiTheme="majorHAnsi" w:eastAsiaTheme="majorEastAsia" w:hAnsiTheme="majorHAnsi" w:cstheme="majorBidi"/>
      <w:b/>
      <w:bCs/>
      <w:color w:val="4F81BD" w:themeColor="accent1"/>
      <w:sz w:val="26"/>
      <w:szCs w:val="26"/>
    </w:rPr>
  </w:style>
  <w:style w:type="paragraph" w:styleId="Titel">
    <w:name w:val="Title"/>
    <w:basedOn w:val="Standaard"/>
    <w:next w:val="Standaard"/>
    <w:link w:val="TitelChar"/>
    <w:uiPriority w:val="10"/>
    <w:qFormat/>
    <w:rsid w:val="005E58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5E58C0"/>
    <w:rPr>
      <w:rFonts w:asciiTheme="majorHAnsi" w:eastAsiaTheme="majorEastAsia" w:hAnsiTheme="majorHAnsi" w:cstheme="majorBidi"/>
      <w:color w:val="17365D" w:themeColor="text2" w:themeShade="BF"/>
      <w:spacing w:val="5"/>
      <w:kern w:val="28"/>
      <w:sz w:val="52"/>
      <w:szCs w:val="52"/>
    </w:rPr>
  </w:style>
  <w:style w:type="paragraph" w:styleId="Ballontekst">
    <w:name w:val="Balloon Text"/>
    <w:basedOn w:val="Standaard"/>
    <w:link w:val="BallontekstChar"/>
    <w:uiPriority w:val="99"/>
    <w:semiHidden/>
    <w:unhideWhenUsed/>
    <w:rsid w:val="005E58C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E58C0"/>
    <w:rPr>
      <w:rFonts w:ascii="Tahoma" w:hAnsi="Tahoma" w:cs="Tahoma"/>
      <w:sz w:val="16"/>
      <w:szCs w:val="16"/>
    </w:rPr>
  </w:style>
  <w:style w:type="paragraph" w:styleId="Voetnoottekst">
    <w:name w:val="footnote text"/>
    <w:basedOn w:val="Standaard"/>
    <w:link w:val="VoetnoottekstChar"/>
    <w:uiPriority w:val="99"/>
    <w:semiHidden/>
    <w:unhideWhenUsed/>
    <w:rsid w:val="004026A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026A0"/>
    <w:rPr>
      <w:sz w:val="20"/>
      <w:szCs w:val="20"/>
    </w:rPr>
  </w:style>
  <w:style w:type="character" w:styleId="Voetnootmarkering">
    <w:name w:val="footnote reference"/>
    <w:basedOn w:val="Standaardalinea-lettertype"/>
    <w:uiPriority w:val="99"/>
    <w:semiHidden/>
    <w:unhideWhenUsed/>
    <w:rsid w:val="004026A0"/>
    <w:rPr>
      <w:vertAlign w:val="superscript"/>
    </w:rPr>
  </w:style>
  <w:style w:type="character" w:customStyle="1" w:styleId="Kop3Char">
    <w:name w:val="Kop 3 Char"/>
    <w:basedOn w:val="Standaardalinea-lettertype"/>
    <w:link w:val="Kop3"/>
    <w:uiPriority w:val="9"/>
    <w:rsid w:val="007B3435"/>
    <w:rPr>
      <w:rFonts w:asciiTheme="majorHAnsi" w:eastAsiaTheme="majorEastAsia" w:hAnsiTheme="majorHAnsi" w:cstheme="majorBidi"/>
      <w:b/>
      <w:bCs/>
      <w:color w:val="4F81BD" w:themeColor="accent1"/>
    </w:rPr>
  </w:style>
  <w:style w:type="paragraph" w:styleId="Kopvaninhoudsopgave">
    <w:name w:val="TOC Heading"/>
    <w:basedOn w:val="Kop1"/>
    <w:next w:val="Standaard"/>
    <w:uiPriority w:val="39"/>
    <w:semiHidden/>
    <w:unhideWhenUsed/>
    <w:qFormat/>
    <w:rsid w:val="00CC2B1B"/>
    <w:pPr>
      <w:outlineLvl w:val="9"/>
    </w:pPr>
  </w:style>
  <w:style w:type="paragraph" w:styleId="Inhopg1">
    <w:name w:val="toc 1"/>
    <w:basedOn w:val="Standaard"/>
    <w:next w:val="Standaard"/>
    <w:autoRedefine/>
    <w:uiPriority w:val="39"/>
    <w:unhideWhenUsed/>
    <w:qFormat/>
    <w:rsid w:val="00CC2B1B"/>
    <w:pPr>
      <w:spacing w:after="100"/>
    </w:pPr>
  </w:style>
  <w:style w:type="paragraph" w:styleId="Inhopg2">
    <w:name w:val="toc 2"/>
    <w:basedOn w:val="Standaard"/>
    <w:next w:val="Standaard"/>
    <w:autoRedefine/>
    <w:uiPriority w:val="39"/>
    <w:unhideWhenUsed/>
    <w:qFormat/>
    <w:rsid w:val="00CC2B1B"/>
    <w:pPr>
      <w:spacing w:after="100"/>
      <w:ind w:left="220"/>
    </w:pPr>
  </w:style>
  <w:style w:type="character" w:styleId="Hyperlink">
    <w:name w:val="Hyperlink"/>
    <w:basedOn w:val="Standaardalinea-lettertype"/>
    <w:uiPriority w:val="99"/>
    <w:unhideWhenUsed/>
    <w:rsid w:val="00CC2B1B"/>
    <w:rPr>
      <w:color w:val="0000FF" w:themeColor="hyperlink"/>
      <w:u w:val="single"/>
    </w:rPr>
  </w:style>
  <w:style w:type="paragraph" w:styleId="Ondertitel">
    <w:name w:val="Subtitle"/>
    <w:basedOn w:val="Standaard"/>
    <w:next w:val="Standaard"/>
    <w:link w:val="OndertitelChar"/>
    <w:uiPriority w:val="11"/>
    <w:qFormat/>
    <w:rsid w:val="0042251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42251F"/>
    <w:rPr>
      <w:rFonts w:asciiTheme="majorHAnsi" w:eastAsiaTheme="majorEastAsia" w:hAnsiTheme="majorHAnsi" w:cstheme="majorBidi"/>
      <w:i/>
      <w:iCs/>
      <w:color w:val="4F81BD" w:themeColor="accent1"/>
      <w:spacing w:val="15"/>
      <w:sz w:val="24"/>
      <w:szCs w:val="24"/>
    </w:rPr>
  </w:style>
  <w:style w:type="paragraph" w:styleId="Koptekst">
    <w:name w:val="header"/>
    <w:basedOn w:val="Standaard"/>
    <w:link w:val="KoptekstChar"/>
    <w:uiPriority w:val="99"/>
    <w:unhideWhenUsed/>
    <w:rsid w:val="00EC037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037B"/>
  </w:style>
  <w:style w:type="paragraph" w:styleId="Voettekst">
    <w:name w:val="footer"/>
    <w:basedOn w:val="Standaard"/>
    <w:link w:val="VoettekstChar"/>
    <w:uiPriority w:val="99"/>
    <w:unhideWhenUsed/>
    <w:rsid w:val="00EC037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037B"/>
  </w:style>
  <w:style w:type="character" w:styleId="Verwijzingopmerking">
    <w:name w:val="annotation reference"/>
    <w:basedOn w:val="Standaardalinea-lettertype"/>
    <w:uiPriority w:val="99"/>
    <w:semiHidden/>
    <w:unhideWhenUsed/>
    <w:rsid w:val="00203BE0"/>
    <w:rPr>
      <w:sz w:val="16"/>
      <w:szCs w:val="16"/>
    </w:rPr>
  </w:style>
  <w:style w:type="paragraph" w:styleId="Tekstopmerking">
    <w:name w:val="annotation text"/>
    <w:basedOn w:val="Standaard"/>
    <w:link w:val="TekstopmerkingChar"/>
    <w:uiPriority w:val="99"/>
    <w:semiHidden/>
    <w:unhideWhenUsed/>
    <w:rsid w:val="00203BE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03BE0"/>
    <w:rPr>
      <w:sz w:val="20"/>
      <w:szCs w:val="20"/>
    </w:rPr>
  </w:style>
  <w:style w:type="paragraph" w:styleId="Onderwerpvanopmerking">
    <w:name w:val="annotation subject"/>
    <w:basedOn w:val="Tekstopmerking"/>
    <w:next w:val="Tekstopmerking"/>
    <w:link w:val="OnderwerpvanopmerkingChar"/>
    <w:uiPriority w:val="99"/>
    <w:semiHidden/>
    <w:unhideWhenUsed/>
    <w:rsid w:val="00203BE0"/>
    <w:rPr>
      <w:b/>
      <w:bCs/>
    </w:rPr>
  </w:style>
  <w:style w:type="character" w:customStyle="1" w:styleId="OnderwerpvanopmerkingChar">
    <w:name w:val="Onderwerp van opmerking Char"/>
    <w:basedOn w:val="TekstopmerkingChar"/>
    <w:link w:val="Onderwerpvanopmerking"/>
    <w:uiPriority w:val="99"/>
    <w:semiHidden/>
    <w:rsid w:val="00203BE0"/>
    <w:rPr>
      <w:b/>
      <w:bCs/>
      <w:sz w:val="20"/>
      <w:szCs w:val="20"/>
    </w:rPr>
  </w:style>
  <w:style w:type="table" w:styleId="Tabelraster">
    <w:name w:val="Table Grid"/>
    <w:basedOn w:val="Standaardtabel"/>
    <w:uiPriority w:val="59"/>
    <w:rsid w:val="009A2138"/>
    <w:pPr>
      <w:spacing w:after="0" w:line="26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next w:val="Standaard"/>
    <w:autoRedefine/>
    <w:uiPriority w:val="39"/>
    <w:unhideWhenUsed/>
    <w:qFormat/>
    <w:rsid w:val="00493568"/>
    <w:pPr>
      <w:spacing w:after="100"/>
      <w:ind w:left="440"/>
    </w:pPr>
  </w:style>
  <w:style w:type="character" w:customStyle="1" w:styleId="Kop4Char">
    <w:name w:val="Kop 4 Char"/>
    <w:basedOn w:val="Standaardalinea-lettertype"/>
    <w:link w:val="Kop4"/>
    <w:uiPriority w:val="9"/>
    <w:semiHidden/>
    <w:rsid w:val="00F642DF"/>
    <w:rPr>
      <w:rFonts w:asciiTheme="majorHAnsi" w:eastAsiaTheme="majorEastAsia" w:hAnsiTheme="majorHAnsi" w:cstheme="majorBidi"/>
      <w:b/>
      <w:bCs/>
      <w:i/>
      <w:iCs/>
      <w:color w:val="4F81BD" w:themeColor="accent1"/>
    </w:rPr>
  </w:style>
  <w:style w:type="paragraph" w:styleId="Bijschrift">
    <w:name w:val="caption"/>
    <w:basedOn w:val="Standaard"/>
    <w:next w:val="Standaard"/>
    <w:uiPriority w:val="35"/>
    <w:unhideWhenUsed/>
    <w:qFormat/>
    <w:rsid w:val="00546361"/>
    <w:pPr>
      <w:spacing w:line="240" w:lineRule="auto"/>
    </w:pPr>
    <w:rPr>
      <w:b/>
      <w:bCs/>
      <w:color w:val="4F81BD" w:themeColor="accent1"/>
      <w:sz w:val="18"/>
      <w:szCs w:val="18"/>
    </w:rPr>
  </w:style>
  <w:style w:type="paragraph" w:styleId="Geenafstand">
    <w:name w:val="No Spacing"/>
    <w:uiPriority w:val="1"/>
    <w:qFormat/>
    <w:rsid w:val="005F02E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BE55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9C78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7B3435"/>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642D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E55A1"/>
    <w:rPr>
      <w:rFonts w:asciiTheme="majorHAnsi" w:eastAsiaTheme="majorEastAsia" w:hAnsiTheme="majorHAnsi" w:cstheme="majorBidi"/>
      <w:b/>
      <w:bCs/>
      <w:color w:val="365F91" w:themeColor="accent1" w:themeShade="BF"/>
      <w:sz w:val="28"/>
      <w:szCs w:val="28"/>
    </w:rPr>
  </w:style>
  <w:style w:type="paragraph" w:styleId="Lijstalinea">
    <w:name w:val="List Paragraph"/>
    <w:basedOn w:val="Standaard"/>
    <w:uiPriority w:val="34"/>
    <w:qFormat/>
    <w:rsid w:val="00BE55A1"/>
    <w:pPr>
      <w:ind w:left="720"/>
      <w:contextualSpacing/>
    </w:pPr>
  </w:style>
  <w:style w:type="character" w:customStyle="1" w:styleId="Kop2Char">
    <w:name w:val="Kop 2 Char"/>
    <w:basedOn w:val="Standaardalinea-lettertype"/>
    <w:link w:val="Kop2"/>
    <w:uiPriority w:val="9"/>
    <w:rsid w:val="009C7826"/>
    <w:rPr>
      <w:rFonts w:asciiTheme="majorHAnsi" w:eastAsiaTheme="majorEastAsia" w:hAnsiTheme="majorHAnsi" w:cstheme="majorBidi"/>
      <w:b/>
      <w:bCs/>
      <w:color w:val="4F81BD" w:themeColor="accent1"/>
      <w:sz w:val="26"/>
      <w:szCs w:val="26"/>
    </w:rPr>
  </w:style>
  <w:style w:type="paragraph" w:styleId="Titel">
    <w:name w:val="Title"/>
    <w:basedOn w:val="Standaard"/>
    <w:next w:val="Standaard"/>
    <w:link w:val="TitelChar"/>
    <w:uiPriority w:val="10"/>
    <w:qFormat/>
    <w:rsid w:val="005E58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5E58C0"/>
    <w:rPr>
      <w:rFonts w:asciiTheme="majorHAnsi" w:eastAsiaTheme="majorEastAsia" w:hAnsiTheme="majorHAnsi" w:cstheme="majorBidi"/>
      <w:color w:val="17365D" w:themeColor="text2" w:themeShade="BF"/>
      <w:spacing w:val="5"/>
      <w:kern w:val="28"/>
      <w:sz w:val="52"/>
      <w:szCs w:val="52"/>
    </w:rPr>
  </w:style>
  <w:style w:type="paragraph" w:styleId="Ballontekst">
    <w:name w:val="Balloon Text"/>
    <w:basedOn w:val="Standaard"/>
    <w:link w:val="BallontekstChar"/>
    <w:uiPriority w:val="99"/>
    <w:semiHidden/>
    <w:unhideWhenUsed/>
    <w:rsid w:val="005E58C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E58C0"/>
    <w:rPr>
      <w:rFonts w:ascii="Tahoma" w:hAnsi="Tahoma" w:cs="Tahoma"/>
      <w:sz w:val="16"/>
      <w:szCs w:val="16"/>
    </w:rPr>
  </w:style>
  <w:style w:type="paragraph" w:styleId="Voetnoottekst">
    <w:name w:val="footnote text"/>
    <w:basedOn w:val="Standaard"/>
    <w:link w:val="VoetnoottekstChar"/>
    <w:uiPriority w:val="99"/>
    <w:semiHidden/>
    <w:unhideWhenUsed/>
    <w:rsid w:val="004026A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026A0"/>
    <w:rPr>
      <w:sz w:val="20"/>
      <w:szCs w:val="20"/>
    </w:rPr>
  </w:style>
  <w:style w:type="character" w:styleId="Voetnootmarkering">
    <w:name w:val="footnote reference"/>
    <w:basedOn w:val="Standaardalinea-lettertype"/>
    <w:uiPriority w:val="99"/>
    <w:semiHidden/>
    <w:unhideWhenUsed/>
    <w:rsid w:val="004026A0"/>
    <w:rPr>
      <w:vertAlign w:val="superscript"/>
    </w:rPr>
  </w:style>
  <w:style w:type="character" w:customStyle="1" w:styleId="Kop3Char">
    <w:name w:val="Kop 3 Char"/>
    <w:basedOn w:val="Standaardalinea-lettertype"/>
    <w:link w:val="Kop3"/>
    <w:uiPriority w:val="9"/>
    <w:rsid w:val="007B3435"/>
    <w:rPr>
      <w:rFonts w:asciiTheme="majorHAnsi" w:eastAsiaTheme="majorEastAsia" w:hAnsiTheme="majorHAnsi" w:cstheme="majorBidi"/>
      <w:b/>
      <w:bCs/>
      <w:color w:val="4F81BD" w:themeColor="accent1"/>
    </w:rPr>
  </w:style>
  <w:style w:type="paragraph" w:styleId="Kopvaninhoudsopgave">
    <w:name w:val="TOC Heading"/>
    <w:basedOn w:val="Kop1"/>
    <w:next w:val="Standaard"/>
    <w:uiPriority w:val="39"/>
    <w:semiHidden/>
    <w:unhideWhenUsed/>
    <w:qFormat/>
    <w:rsid w:val="00CC2B1B"/>
    <w:pPr>
      <w:outlineLvl w:val="9"/>
    </w:pPr>
  </w:style>
  <w:style w:type="paragraph" w:styleId="Inhopg1">
    <w:name w:val="toc 1"/>
    <w:basedOn w:val="Standaard"/>
    <w:next w:val="Standaard"/>
    <w:autoRedefine/>
    <w:uiPriority w:val="39"/>
    <w:unhideWhenUsed/>
    <w:qFormat/>
    <w:rsid w:val="00CC2B1B"/>
    <w:pPr>
      <w:spacing w:after="100"/>
    </w:pPr>
  </w:style>
  <w:style w:type="paragraph" w:styleId="Inhopg2">
    <w:name w:val="toc 2"/>
    <w:basedOn w:val="Standaard"/>
    <w:next w:val="Standaard"/>
    <w:autoRedefine/>
    <w:uiPriority w:val="39"/>
    <w:unhideWhenUsed/>
    <w:qFormat/>
    <w:rsid w:val="00CC2B1B"/>
    <w:pPr>
      <w:spacing w:after="100"/>
      <w:ind w:left="220"/>
    </w:pPr>
  </w:style>
  <w:style w:type="character" w:styleId="Hyperlink">
    <w:name w:val="Hyperlink"/>
    <w:basedOn w:val="Standaardalinea-lettertype"/>
    <w:uiPriority w:val="99"/>
    <w:unhideWhenUsed/>
    <w:rsid w:val="00CC2B1B"/>
    <w:rPr>
      <w:color w:val="0000FF" w:themeColor="hyperlink"/>
      <w:u w:val="single"/>
    </w:rPr>
  </w:style>
  <w:style w:type="paragraph" w:styleId="Ondertitel">
    <w:name w:val="Subtitle"/>
    <w:basedOn w:val="Standaard"/>
    <w:next w:val="Standaard"/>
    <w:link w:val="OndertitelChar"/>
    <w:uiPriority w:val="11"/>
    <w:qFormat/>
    <w:rsid w:val="0042251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42251F"/>
    <w:rPr>
      <w:rFonts w:asciiTheme="majorHAnsi" w:eastAsiaTheme="majorEastAsia" w:hAnsiTheme="majorHAnsi" w:cstheme="majorBidi"/>
      <w:i/>
      <w:iCs/>
      <w:color w:val="4F81BD" w:themeColor="accent1"/>
      <w:spacing w:val="15"/>
      <w:sz w:val="24"/>
      <w:szCs w:val="24"/>
    </w:rPr>
  </w:style>
  <w:style w:type="paragraph" w:styleId="Koptekst">
    <w:name w:val="header"/>
    <w:basedOn w:val="Standaard"/>
    <w:link w:val="KoptekstChar"/>
    <w:uiPriority w:val="99"/>
    <w:unhideWhenUsed/>
    <w:rsid w:val="00EC037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037B"/>
  </w:style>
  <w:style w:type="paragraph" w:styleId="Voettekst">
    <w:name w:val="footer"/>
    <w:basedOn w:val="Standaard"/>
    <w:link w:val="VoettekstChar"/>
    <w:uiPriority w:val="99"/>
    <w:unhideWhenUsed/>
    <w:rsid w:val="00EC037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037B"/>
  </w:style>
  <w:style w:type="character" w:styleId="Verwijzingopmerking">
    <w:name w:val="annotation reference"/>
    <w:basedOn w:val="Standaardalinea-lettertype"/>
    <w:uiPriority w:val="99"/>
    <w:semiHidden/>
    <w:unhideWhenUsed/>
    <w:rsid w:val="00203BE0"/>
    <w:rPr>
      <w:sz w:val="16"/>
      <w:szCs w:val="16"/>
    </w:rPr>
  </w:style>
  <w:style w:type="paragraph" w:styleId="Tekstopmerking">
    <w:name w:val="annotation text"/>
    <w:basedOn w:val="Standaard"/>
    <w:link w:val="TekstopmerkingChar"/>
    <w:uiPriority w:val="99"/>
    <w:semiHidden/>
    <w:unhideWhenUsed/>
    <w:rsid w:val="00203BE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03BE0"/>
    <w:rPr>
      <w:sz w:val="20"/>
      <w:szCs w:val="20"/>
    </w:rPr>
  </w:style>
  <w:style w:type="paragraph" w:styleId="Onderwerpvanopmerking">
    <w:name w:val="annotation subject"/>
    <w:basedOn w:val="Tekstopmerking"/>
    <w:next w:val="Tekstopmerking"/>
    <w:link w:val="OnderwerpvanopmerkingChar"/>
    <w:uiPriority w:val="99"/>
    <w:semiHidden/>
    <w:unhideWhenUsed/>
    <w:rsid w:val="00203BE0"/>
    <w:rPr>
      <w:b/>
      <w:bCs/>
    </w:rPr>
  </w:style>
  <w:style w:type="character" w:customStyle="1" w:styleId="OnderwerpvanopmerkingChar">
    <w:name w:val="Onderwerp van opmerking Char"/>
    <w:basedOn w:val="TekstopmerkingChar"/>
    <w:link w:val="Onderwerpvanopmerking"/>
    <w:uiPriority w:val="99"/>
    <w:semiHidden/>
    <w:rsid w:val="00203BE0"/>
    <w:rPr>
      <w:b/>
      <w:bCs/>
      <w:sz w:val="20"/>
      <w:szCs w:val="20"/>
    </w:rPr>
  </w:style>
  <w:style w:type="table" w:styleId="Tabelraster">
    <w:name w:val="Table Grid"/>
    <w:basedOn w:val="Standaardtabel"/>
    <w:uiPriority w:val="59"/>
    <w:rsid w:val="009A2138"/>
    <w:pPr>
      <w:spacing w:after="0" w:line="26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3">
    <w:name w:val="toc 3"/>
    <w:basedOn w:val="Standaard"/>
    <w:next w:val="Standaard"/>
    <w:autoRedefine/>
    <w:uiPriority w:val="39"/>
    <w:unhideWhenUsed/>
    <w:qFormat/>
    <w:rsid w:val="00493568"/>
    <w:pPr>
      <w:spacing w:after="100"/>
      <w:ind w:left="440"/>
    </w:pPr>
  </w:style>
  <w:style w:type="character" w:customStyle="1" w:styleId="Kop4Char">
    <w:name w:val="Kop 4 Char"/>
    <w:basedOn w:val="Standaardalinea-lettertype"/>
    <w:link w:val="Kop4"/>
    <w:uiPriority w:val="9"/>
    <w:semiHidden/>
    <w:rsid w:val="00F642DF"/>
    <w:rPr>
      <w:rFonts w:asciiTheme="majorHAnsi" w:eastAsiaTheme="majorEastAsia" w:hAnsiTheme="majorHAnsi" w:cstheme="majorBidi"/>
      <w:b/>
      <w:bCs/>
      <w:i/>
      <w:iCs/>
      <w:color w:val="4F81BD" w:themeColor="accent1"/>
    </w:rPr>
  </w:style>
  <w:style w:type="paragraph" w:styleId="Bijschrift">
    <w:name w:val="caption"/>
    <w:basedOn w:val="Standaard"/>
    <w:next w:val="Standaard"/>
    <w:uiPriority w:val="35"/>
    <w:unhideWhenUsed/>
    <w:qFormat/>
    <w:rsid w:val="00546361"/>
    <w:pPr>
      <w:spacing w:line="240" w:lineRule="auto"/>
    </w:pPr>
    <w:rPr>
      <w:b/>
      <w:bCs/>
      <w:color w:val="4F81BD" w:themeColor="accent1"/>
      <w:sz w:val="18"/>
      <w:szCs w:val="18"/>
    </w:rPr>
  </w:style>
  <w:style w:type="paragraph" w:styleId="Geenafstand">
    <w:name w:val="No Spacing"/>
    <w:uiPriority w:val="1"/>
    <w:qFormat/>
    <w:rsid w:val="005F02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5480">
      <w:bodyDiv w:val="1"/>
      <w:marLeft w:val="0"/>
      <w:marRight w:val="0"/>
      <w:marTop w:val="0"/>
      <w:marBottom w:val="0"/>
      <w:divBdr>
        <w:top w:val="none" w:sz="0" w:space="0" w:color="auto"/>
        <w:left w:val="none" w:sz="0" w:space="0" w:color="auto"/>
        <w:bottom w:val="none" w:sz="0" w:space="0" w:color="auto"/>
        <w:right w:val="none" w:sz="0" w:space="0" w:color="auto"/>
      </w:divBdr>
    </w:div>
    <w:div w:id="49113929">
      <w:bodyDiv w:val="1"/>
      <w:marLeft w:val="0"/>
      <w:marRight w:val="0"/>
      <w:marTop w:val="0"/>
      <w:marBottom w:val="0"/>
      <w:divBdr>
        <w:top w:val="none" w:sz="0" w:space="0" w:color="auto"/>
        <w:left w:val="none" w:sz="0" w:space="0" w:color="auto"/>
        <w:bottom w:val="none" w:sz="0" w:space="0" w:color="auto"/>
        <w:right w:val="none" w:sz="0" w:space="0" w:color="auto"/>
      </w:divBdr>
    </w:div>
    <w:div w:id="189073087">
      <w:bodyDiv w:val="1"/>
      <w:marLeft w:val="0"/>
      <w:marRight w:val="0"/>
      <w:marTop w:val="0"/>
      <w:marBottom w:val="0"/>
      <w:divBdr>
        <w:top w:val="none" w:sz="0" w:space="0" w:color="auto"/>
        <w:left w:val="none" w:sz="0" w:space="0" w:color="auto"/>
        <w:bottom w:val="none" w:sz="0" w:space="0" w:color="auto"/>
        <w:right w:val="none" w:sz="0" w:space="0" w:color="auto"/>
      </w:divBdr>
    </w:div>
    <w:div w:id="226065194">
      <w:bodyDiv w:val="1"/>
      <w:marLeft w:val="0"/>
      <w:marRight w:val="0"/>
      <w:marTop w:val="0"/>
      <w:marBottom w:val="0"/>
      <w:divBdr>
        <w:top w:val="none" w:sz="0" w:space="0" w:color="auto"/>
        <w:left w:val="none" w:sz="0" w:space="0" w:color="auto"/>
        <w:bottom w:val="none" w:sz="0" w:space="0" w:color="auto"/>
        <w:right w:val="none" w:sz="0" w:space="0" w:color="auto"/>
      </w:divBdr>
    </w:div>
    <w:div w:id="525026144">
      <w:bodyDiv w:val="1"/>
      <w:marLeft w:val="0"/>
      <w:marRight w:val="0"/>
      <w:marTop w:val="0"/>
      <w:marBottom w:val="0"/>
      <w:divBdr>
        <w:top w:val="none" w:sz="0" w:space="0" w:color="auto"/>
        <w:left w:val="none" w:sz="0" w:space="0" w:color="auto"/>
        <w:bottom w:val="none" w:sz="0" w:space="0" w:color="auto"/>
        <w:right w:val="none" w:sz="0" w:space="0" w:color="auto"/>
      </w:divBdr>
    </w:div>
    <w:div w:id="692532595">
      <w:bodyDiv w:val="1"/>
      <w:marLeft w:val="0"/>
      <w:marRight w:val="0"/>
      <w:marTop w:val="0"/>
      <w:marBottom w:val="0"/>
      <w:divBdr>
        <w:top w:val="none" w:sz="0" w:space="0" w:color="auto"/>
        <w:left w:val="none" w:sz="0" w:space="0" w:color="auto"/>
        <w:bottom w:val="none" w:sz="0" w:space="0" w:color="auto"/>
        <w:right w:val="none" w:sz="0" w:space="0" w:color="auto"/>
      </w:divBdr>
    </w:div>
    <w:div w:id="698168214">
      <w:bodyDiv w:val="1"/>
      <w:marLeft w:val="0"/>
      <w:marRight w:val="0"/>
      <w:marTop w:val="0"/>
      <w:marBottom w:val="0"/>
      <w:divBdr>
        <w:top w:val="none" w:sz="0" w:space="0" w:color="auto"/>
        <w:left w:val="none" w:sz="0" w:space="0" w:color="auto"/>
        <w:bottom w:val="none" w:sz="0" w:space="0" w:color="auto"/>
        <w:right w:val="none" w:sz="0" w:space="0" w:color="auto"/>
      </w:divBdr>
    </w:div>
    <w:div w:id="703941474">
      <w:bodyDiv w:val="1"/>
      <w:marLeft w:val="0"/>
      <w:marRight w:val="0"/>
      <w:marTop w:val="0"/>
      <w:marBottom w:val="0"/>
      <w:divBdr>
        <w:top w:val="none" w:sz="0" w:space="0" w:color="auto"/>
        <w:left w:val="none" w:sz="0" w:space="0" w:color="auto"/>
        <w:bottom w:val="none" w:sz="0" w:space="0" w:color="auto"/>
        <w:right w:val="none" w:sz="0" w:space="0" w:color="auto"/>
      </w:divBdr>
    </w:div>
    <w:div w:id="711854761">
      <w:bodyDiv w:val="1"/>
      <w:marLeft w:val="0"/>
      <w:marRight w:val="0"/>
      <w:marTop w:val="0"/>
      <w:marBottom w:val="0"/>
      <w:divBdr>
        <w:top w:val="none" w:sz="0" w:space="0" w:color="auto"/>
        <w:left w:val="none" w:sz="0" w:space="0" w:color="auto"/>
        <w:bottom w:val="none" w:sz="0" w:space="0" w:color="auto"/>
        <w:right w:val="none" w:sz="0" w:space="0" w:color="auto"/>
      </w:divBdr>
    </w:div>
    <w:div w:id="752825757">
      <w:bodyDiv w:val="1"/>
      <w:marLeft w:val="0"/>
      <w:marRight w:val="0"/>
      <w:marTop w:val="0"/>
      <w:marBottom w:val="0"/>
      <w:divBdr>
        <w:top w:val="none" w:sz="0" w:space="0" w:color="auto"/>
        <w:left w:val="none" w:sz="0" w:space="0" w:color="auto"/>
        <w:bottom w:val="none" w:sz="0" w:space="0" w:color="auto"/>
        <w:right w:val="none" w:sz="0" w:space="0" w:color="auto"/>
      </w:divBdr>
    </w:div>
    <w:div w:id="814640612">
      <w:bodyDiv w:val="1"/>
      <w:marLeft w:val="0"/>
      <w:marRight w:val="0"/>
      <w:marTop w:val="0"/>
      <w:marBottom w:val="0"/>
      <w:divBdr>
        <w:top w:val="none" w:sz="0" w:space="0" w:color="auto"/>
        <w:left w:val="none" w:sz="0" w:space="0" w:color="auto"/>
        <w:bottom w:val="none" w:sz="0" w:space="0" w:color="auto"/>
        <w:right w:val="none" w:sz="0" w:space="0" w:color="auto"/>
      </w:divBdr>
    </w:div>
    <w:div w:id="908661299">
      <w:bodyDiv w:val="1"/>
      <w:marLeft w:val="0"/>
      <w:marRight w:val="0"/>
      <w:marTop w:val="0"/>
      <w:marBottom w:val="0"/>
      <w:divBdr>
        <w:top w:val="none" w:sz="0" w:space="0" w:color="auto"/>
        <w:left w:val="none" w:sz="0" w:space="0" w:color="auto"/>
        <w:bottom w:val="none" w:sz="0" w:space="0" w:color="auto"/>
        <w:right w:val="none" w:sz="0" w:space="0" w:color="auto"/>
      </w:divBdr>
    </w:div>
    <w:div w:id="1005017955">
      <w:bodyDiv w:val="1"/>
      <w:marLeft w:val="0"/>
      <w:marRight w:val="0"/>
      <w:marTop w:val="0"/>
      <w:marBottom w:val="0"/>
      <w:divBdr>
        <w:top w:val="none" w:sz="0" w:space="0" w:color="auto"/>
        <w:left w:val="none" w:sz="0" w:space="0" w:color="auto"/>
        <w:bottom w:val="none" w:sz="0" w:space="0" w:color="auto"/>
        <w:right w:val="none" w:sz="0" w:space="0" w:color="auto"/>
      </w:divBdr>
    </w:div>
    <w:div w:id="1026059298">
      <w:bodyDiv w:val="1"/>
      <w:marLeft w:val="0"/>
      <w:marRight w:val="0"/>
      <w:marTop w:val="0"/>
      <w:marBottom w:val="0"/>
      <w:divBdr>
        <w:top w:val="none" w:sz="0" w:space="0" w:color="auto"/>
        <w:left w:val="none" w:sz="0" w:space="0" w:color="auto"/>
        <w:bottom w:val="none" w:sz="0" w:space="0" w:color="auto"/>
        <w:right w:val="none" w:sz="0" w:space="0" w:color="auto"/>
      </w:divBdr>
    </w:div>
    <w:div w:id="1083140345">
      <w:bodyDiv w:val="1"/>
      <w:marLeft w:val="0"/>
      <w:marRight w:val="0"/>
      <w:marTop w:val="0"/>
      <w:marBottom w:val="0"/>
      <w:divBdr>
        <w:top w:val="none" w:sz="0" w:space="0" w:color="auto"/>
        <w:left w:val="none" w:sz="0" w:space="0" w:color="auto"/>
        <w:bottom w:val="none" w:sz="0" w:space="0" w:color="auto"/>
        <w:right w:val="none" w:sz="0" w:space="0" w:color="auto"/>
      </w:divBdr>
    </w:div>
    <w:div w:id="1290092405">
      <w:bodyDiv w:val="1"/>
      <w:marLeft w:val="0"/>
      <w:marRight w:val="0"/>
      <w:marTop w:val="0"/>
      <w:marBottom w:val="0"/>
      <w:divBdr>
        <w:top w:val="none" w:sz="0" w:space="0" w:color="auto"/>
        <w:left w:val="none" w:sz="0" w:space="0" w:color="auto"/>
        <w:bottom w:val="none" w:sz="0" w:space="0" w:color="auto"/>
        <w:right w:val="none" w:sz="0" w:space="0" w:color="auto"/>
      </w:divBdr>
      <w:divsChild>
        <w:div w:id="42826152">
          <w:marLeft w:val="0"/>
          <w:marRight w:val="0"/>
          <w:marTop w:val="0"/>
          <w:marBottom w:val="0"/>
          <w:divBdr>
            <w:top w:val="none" w:sz="0" w:space="0" w:color="auto"/>
            <w:left w:val="none" w:sz="0" w:space="0" w:color="auto"/>
            <w:bottom w:val="none" w:sz="0" w:space="0" w:color="auto"/>
            <w:right w:val="none" w:sz="0" w:space="0" w:color="auto"/>
          </w:divBdr>
          <w:divsChild>
            <w:div w:id="92020912">
              <w:marLeft w:val="0"/>
              <w:marRight w:val="0"/>
              <w:marTop w:val="0"/>
              <w:marBottom w:val="0"/>
              <w:divBdr>
                <w:top w:val="none" w:sz="0" w:space="0" w:color="auto"/>
                <w:left w:val="none" w:sz="0" w:space="0" w:color="auto"/>
                <w:bottom w:val="none" w:sz="0" w:space="0" w:color="auto"/>
                <w:right w:val="none" w:sz="0" w:space="0" w:color="auto"/>
              </w:divBdr>
              <w:divsChild>
                <w:div w:id="85330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756819">
      <w:bodyDiv w:val="1"/>
      <w:marLeft w:val="0"/>
      <w:marRight w:val="0"/>
      <w:marTop w:val="0"/>
      <w:marBottom w:val="0"/>
      <w:divBdr>
        <w:top w:val="none" w:sz="0" w:space="0" w:color="auto"/>
        <w:left w:val="none" w:sz="0" w:space="0" w:color="auto"/>
        <w:bottom w:val="none" w:sz="0" w:space="0" w:color="auto"/>
        <w:right w:val="none" w:sz="0" w:space="0" w:color="auto"/>
      </w:divBdr>
    </w:div>
    <w:div w:id="1519658415">
      <w:bodyDiv w:val="1"/>
      <w:marLeft w:val="0"/>
      <w:marRight w:val="0"/>
      <w:marTop w:val="0"/>
      <w:marBottom w:val="0"/>
      <w:divBdr>
        <w:top w:val="none" w:sz="0" w:space="0" w:color="auto"/>
        <w:left w:val="none" w:sz="0" w:space="0" w:color="auto"/>
        <w:bottom w:val="none" w:sz="0" w:space="0" w:color="auto"/>
        <w:right w:val="none" w:sz="0" w:space="0" w:color="auto"/>
      </w:divBdr>
    </w:div>
    <w:div w:id="1561012381">
      <w:bodyDiv w:val="1"/>
      <w:marLeft w:val="0"/>
      <w:marRight w:val="0"/>
      <w:marTop w:val="0"/>
      <w:marBottom w:val="0"/>
      <w:divBdr>
        <w:top w:val="none" w:sz="0" w:space="0" w:color="auto"/>
        <w:left w:val="none" w:sz="0" w:space="0" w:color="auto"/>
        <w:bottom w:val="none" w:sz="0" w:space="0" w:color="auto"/>
        <w:right w:val="none" w:sz="0" w:space="0" w:color="auto"/>
      </w:divBdr>
      <w:divsChild>
        <w:div w:id="33703761">
          <w:marLeft w:val="403"/>
          <w:marRight w:val="0"/>
          <w:marTop w:val="100"/>
          <w:marBottom w:val="0"/>
          <w:divBdr>
            <w:top w:val="none" w:sz="0" w:space="0" w:color="auto"/>
            <w:left w:val="none" w:sz="0" w:space="0" w:color="auto"/>
            <w:bottom w:val="none" w:sz="0" w:space="0" w:color="auto"/>
            <w:right w:val="none" w:sz="0" w:space="0" w:color="auto"/>
          </w:divBdr>
        </w:div>
        <w:div w:id="327828024">
          <w:marLeft w:val="403"/>
          <w:marRight w:val="0"/>
          <w:marTop w:val="100"/>
          <w:marBottom w:val="0"/>
          <w:divBdr>
            <w:top w:val="none" w:sz="0" w:space="0" w:color="auto"/>
            <w:left w:val="none" w:sz="0" w:space="0" w:color="auto"/>
            <w:bottom w:val="none" w:sz="0" w:space="0" w:color="auto"/>
            <w:right w:val="none" w:sz="0" w:space="0" w:color="auto"/>
          </w:divBdr>
        </w:div>
        <w:div w:id="2022078201">
          <w:marLeft w:val="403"/>
          <w:marRight w:val="0"/>
          <w:marTop w:val="100"/>
          <w:marBottom w:val="0"/>
          <w:divBdr>
            <w:top w:val="none" w:sz="0" w:space="0" w:color="auto"/>
            <w:left w:val="none" w:sz="0" w:space="0" w:color="auto"/>
            <w:bottom w:val="none" w:sz="0" w:space="0" w:color="auto"/>
            <w:right w:val="none" w:sz="0" w:space="0" w:color="auto"/>
          </w:divBdr>
        </w:div>
      </w:divsChild>
    </w:div>
    <w:div w:id="1687713161">
      <w:bodyDiv w:val="1"/>
      <w:marLeft w:val="0"/>
      <w:marRight w:val="0"/>
      <w:marTop w:val="0"/>
      <w:marBottom w:val="0"/>
      <w:divBdr>
        <w:top w:val="none" w:sz="0" w:space="0" w:color="auto"/>
        <w:left w:val="none" w:sz="0" w:space="0" w:color="auto"/>
        <w:bottom w:val="none" w:sz="0" w:space="0" w:color="auto"/>
        <w:right w:val="none" w:sz="0" w:space="0" w:color="auto"/>
      </w:divBdr>
    </w:div>
    <w:div w:id="1695617103">
      <w:bodyDiv w:val="1"/>
      <w:marLeft w:val="0"/>
      <w:marRight w:val="0"/>
      <w:marTop w:val="0"/>
      <w:marBottom w:val="0"/>
      <w:divBdr>
        <w:top w:val="none" w:sz="0" w:space="0" w:color="auto"/>
        <w:left w:val="none" w:sz="0" w:space="0" w:color="auto"/>
        <w:bottom w:val="none" w:sz="0" w:space="0" w:color="auto"/>
        <w:right w:val="none" w:sz="0" w:space="0" w:color="auto"/>
      </w:divBdr>
    </w:div>
    <w:div w:id="1812867024">
      <w:bodyDiv w:val="1"/>
      <w:marLeft w:val="0"/>
      <w:marRight w:val="0"/>
      <w:marTop w:val="0"/>
      <w:marBottom w:val="0"/>
      <w:divBdr>
        <w:top w:val="none" w:sz="0" w:space="0" w:color="auto"/>
        <w:left w:val="none" w:sz="0" w:space="0" w:color="auto"/>
        <w:bottom w:val="none" w:sz="0" w:space="0" w:color="auto"/>
        <w:right w:val="none" w:sz="0" w:space="0" w:color="auto"/>
      </w:divBdr>
    </w:div>
    <w:div w:id="1853759842">
      <w:bodyDiv w:val="1"/>
      <w:marLeft w:val="0"/>
      <w:marRight w:val="0"/>
      <w:marTop w:val="0"/>
      <w:marBottom w:val="0"/>
      <w:divBdr>
        <w:top w:val="none" w:sz="0" w:space="0" w:color="auto"/>
        <w:left w:val="none" w:sz="0" w:space="0" w:color="auto"/>
        <w:bottom w:val="none" w:sz="0" w:space="0" w:color="auto"/>
        <w:right w:val="none" w:sz="0" w:space="0" w:color="auto"/>
      </w:divBdr>
    </w:div>
    <w:div w:id="1871138262">
      <w:bodyDiv w:val="1"/>
      <w:marLeft w:val="0"/>
      <w:marRight w:val="0"/>
      <w:marTop w:val="0"/>
      <w:marBottom w:val="0"/>
      <w:divBdr>
        <w:top w:val="none" w:sz="0" w:space="0" w:color="auto"/>
        <w:left w:val="none" w:sz="0" w:space="0" w:color="auto"/>
        <w:bottom w:val="none" w:sz="0" w:space="0" w:color="auto"/>
        <w:right w:val="none" w:sz="0" w:space="0" w:color="auto"/>
      </w:divBdr>
    </w:div>
    <w:div w:id="1878542986">
      <w:bodyDiv w:val="1"/>
      <w:marLeft w:val="0"/>
      <w:marRight w:val="0"/>
      <w:marTop w:val="0"/>
      <w:marBottom w:val="0"/>
      <w:divBdr>
        <w:top w:val="none" w:sz="0" w:space="0" w:color="auto"/>
        <w:left w:val="none" w:sz="0" w:space="0" w:color="auto"/>
        <w:bottom w:val="none" w:sz="0" w:space="0" w:color="auto"/>
        <w:right w:val="none" w:sz="0" w:space="0" w:color="auto"/>
      </w:divBdr>
    </w:div>
    <w:div w:id="2045329072">
      <w:bodyDiv w:val="1"/>
      <w:marLeft w:val="0"/>
      <w:marRight w:val="0"/>
      <w:marTop w:val="0"/>
      <w:marBottom w:val="0"/>
      <w:divBdr>
        <w:top w:val="none" w:sz="0" w:space="0" w:color="auto"/>
        <w:left w:val="none" w:sz="0" w:space="0" w:color="auto"/>
        <w:bottom w:val="none" w:sz="0" w:space="0" w:color="auto"/>
        <w:right w:val="none" w:sz="0" w:space="0" w:color="auto"/>
      </w:divBdr>
    </w:div>
    <w:div w:id="209153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324913-DB91-4C36-AABD-6F112287D7C8}">
  <ds:schemaRefs>
    <ds:schemaRef ds:uri="http://schemas.openxmlformats.org/officeDocument/2006/bibliography"/>
  </ds:schemaRefs>
</ds:datastoreItem>
</file>

<file path=customXml/itemProps2.xml><?xml version="1.0" encoding="utf-8"?>
<ds:datastoreItem xmlns:ds="http://schemas.openxmlformats.org/officeDocument/2006/customXml" ds:itemID="{58858E5B-1FAE-41CA-AB13-3B78300AB6A7}">
  <ds:schemaRefs>
    <ds:schemaRef ds:uri="http://schemas.openxmlformats.org/officeDocument/2006/bibliography"/>
  </ds:schemaRefs>
</ds:datastoreItem>
</file>

<file path=customXml/itemProps3.xml><?xml version="1.0" encoding="utf-8"?>
<ds:datastoreItem xmlns:ds="http://schemas.openxmlformats.org/officeDocument/2006/customXml" ds:itemID="{30343275-24A5-407B-BD17-69F7FCFDCAF9}">
  <ds:schemaRefs>
    <ds:schemaRef ds:uri="http://schemas.openxmlformats.org/officeDocument/2006/bibliography"/>
  </ds:schemaRefs>
</ds:datastoreItem>
</file>

<file path=customXml/itemProps4.xml><?xml version="1.0" encoding="utf-8"?>
<ds:datastoreItem xmlns:ds="http://schemas.openxmlformats.org/officeDocument/2006/customXml" ds:itemID="{16DDD622-8D9B-4109-A195-116722FDB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6998</Words>
  <Characters>38491</Characters>
  <Application>Microsoft Office Word</Application>
  <DocSecurity>0</DocSecurity>
  <Lines>320</Lines>
  <Paragraphs>90</Paragraphs>
  <ScaleCrop>false</ScaleCrop>
  <HeadingPairs>
    <vt:vector size="2" baseType="variant">
      <vt:variant>
        <vt:lpstr>Titel</vt:lpstr>
      </vt:variant>
      <vt:variant>
        <vt:i4>1</vt:i4>
      </vt:variant>
    </vt:vector>
  </HeadingPairs>
  <TitlesOfParts>
    <vt:vector size="1" baseType="lpstr">
      <vt:lpstr/>
    </vt:vector>
  </TitlesOfParts>
  <Company>Stichting Kennisnet</Company>
  <LinksUpToDate>false</LinksUpToDate>
  <CharactersWithSpaces>45399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Remco de Boer</dc:creator>
  <cp:lastModifiedBy>Tonny Plas</cp:lastModifiedBy>
  <cp:revision>6</cp:revision>
  <cp:lastPrinted>2015-03-09T08:37:00Z</cp:lastPrinted>
  <dcterms:created xsi:type="dcterms:W3CDTF">2015-03-03T20:59:00Z</dcterms:created>
  <dcterms:modified xsi:type="dcterms:W3CDTF">2015-03-18T19:47:00Z</dcterms:modified>
</cp:coreProperties>
</file>