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BA42" w14:textId="77777777" w:rsidR="000E400A" w:rsidRDefault="000E400A" w:rsidP="000E400A">
      <w:pPr>
        <w:rPr>
          <w:rFonts w:eastAsia="Arial" w:cs="Times New Roman"/>
          <w:color w:val="333333"/>
        </w:rPr>
      </w:pPr>
      <w:bookmarkStart w:id="0" w:name="_GoBack"/>
      <w:bookmarkEnd w:id="0"/>
      <w:r>
        <w:rPr>
          <w:noProof/>
          <w:lang w:eastAsia="nl-NL"/>
        </w:rPr>
        <w:drawing>
          <wp:anchor distT="0" distB="0" distL="114300" distR="114300" simplePos="0" relativeHeight="251659264" behindDoc="0" locked="0" layoutInCell="1" allowOverlap="1" wp14:anchorId="19372276" wp14:editId="7331D5AA">
            <wp:simplePos x="0" y="0"/>
            <wp:positionH relativeFrom="column">
              <wp:posOffset>3808095</wp:posOffset>
            </wp:positionH>
            <wp:positionV relativeFrom="paragraph">
              <wp:posOffset>-447675</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cs="Times New Roman"/>
          <w:color w:val="333333"/>
        </w:rPr>
        <w:tab/>
      </w:r>
      <w:r>
        <w:rPr>
          <w:rFonts w:eastAsia="Arial" w:cs="Times New Roman"/>
          <w:color w:val="333333"/>
        </w:rPr>
        <w:tab/>
      </w:r>
    </w:p>
    <w:p w14:paraId="270149AC" w14:textId="77777777" w:rsidR="000E400A" w:rsidRDefault="000E400A" w:rsidP="000E400A">
      <w:pPr>
        <w:rPr>
          <w:rFonts w:eastAsia="Arial" w:cs="Times New Roman"/>
          <w:b/>
          <w:color w:val="333333"/>
          <w:sz w:val="40"/>
        </w:rPr>
      </w:pPr>
    </w:p>
    <w:p w14:paraId="77742133" w14:textId="77777777" w:rsidR="000E400A" w:rsidRDefault="000E400A" w:rsidP="000E400A">
      <w:pPr>
        <w:jc w:val="center"/>
        <w:rPr>
          <w:rFonts w:eastAsia="Arial" w:cs="Times New Roman"/>
          <w:b/>
          <w:color w:val="333333"/>
          <w:sz w:val="40"/>
        </w:rPr>
      </w:pPr>
    </w:p>
    <w:p w14:paraId="3D2A99F0" w14:textId="77777777" w:rsidR="000E400A" w:rsidRDefault="000E400A" w:rsidP="000E400A">
      <w:pPr>
        <w:jc w:val="center"/>
        <w:rPr>
          <w:rFonts w:eastAsia="Arial" w:cs="Times New Roman"/>
          <w:b/>
          <w:color w:val="333333"/>
          <w:sz w:val="40"/>
        </w:rPr>
      </w:pPr>
    </w:p>
    <w:p w14:paraId="26606222" w14:textId="77777777" w:rsidR="000E400A" w:rsidRDefault="000E400A" w:rsidP="000E400A">
      <w:pPr>
        <w:jc w:val="center"/>
        <w:rPr>
          <w:rFonts w:eastAsia="Arial" w:cs="Times New Roman"/>
          <w:b/>
          <w:color w:val="333333"/>
          <w:sz w:val="40"/>
        </w:rPr>
      </w:pPr>
    </w:p>
    <w:p w14:paraId="5AA172F0" w14:textId="77777777" w:rsidR="000E400A" w:rsidRDefault="000E400A" w:rsidP="000E400A">
      <w:pPr>
        <w:spacing w:before="200"/>
        <w:jc w:val="center"/>
        <w:rPr>
          <w:rFonts w:eastAsia="Verdana"/>
          <w:b/>
          <w:sz w:val="52"/>
        </w:rPr>
      </w:pPr>
      <w:r w:rsidRPr="00F9616E">
        <w:rPr>
          <w:rFonts w:eastAsia="Verdana"/>
          <w:b/>
          <w:sz w:val="52"/>
        </w:rPr>
        <w:t xml:space="preserve">Edukoppeling </w:t>
      </w:r>
    </w:p>
    <w:p w14:paraId="7EC3510D" w14:textId="77777777" w:rsidR="000E400A" w:rsidRPr="00F9616E" w:rsidRDefault="000E400A" w:rsidP="000E400A">
      <w:pPr>
        <w:spacing w:before="200"/>
        <w:jc w:val="center"/>
        <w:rPr>
          <w:rFonts w:eastAsia="Verdana"/>
          <w:b/>
          <w:sz w:val="52"/>
        </w:rPr>
      </w:pPr>
      <w:r>
        <w:rPr>
          <w:sz w:val="28"/>
        </w:rPr>
        <w:t>Identificatie en authenticatie</w:t>
      </w:r>
    </w:p>
    <w:p w14:paraId="26096732" w14:textId="77777777" w:rsidR="000E400A" w:rsidRPr="00541B3A" w:rsidRDefault="000E400A" w:rsidP="000E400A">
      <w:pPr>
        <w:spacing w:before="200"/>
        <w:jc w:val="center"/>
        <w:rPr>
          <w:rFonts w:eastAsia="Verdana"/>
          <w:sz w:val="20"/>
        </w:rPr>
      </w:pPr>
      <w:r>
        <w:rPr>
          <w:rFonts w:eastAsia="Verdana"/>
          <w:sz w:val="20"/>
        </w:rPr>
        <w:t>(</w:t>
      </w:r>
      <w:r w:rsidR="00D17AD9">
        <w:rPr>
          <w:rFonts w:eastAsia="Verdana"/>
          <w:sz w:val="20"/>
        </w:rPr>
        <w:t>ter besluitvorming</w:t>
      </w:r>
      <w:r>
        <w:rPr>
          <w:rFonts w:eastAsia="Verdana"/>
          <w:sz w:val="20"/>
        </w:rPr>
        <w:t>)</w:t>
      </w:r>
    </w:p>
    <w:p w14:paraId="51C8AC39" w14:textId="77777777" w:rsidR="000E400A" w:rsidRPr="00541B3A" w:rsidRDefault="000E400A" w:rsidP="000E400A">
      <w:pPr>
        <w:spacing w:before="200"/>
        <w:rPr>
          <w:rFonts w:eastAsia="Verdana"/>
          <w:sz w:val="20"/>
        </w:rPr>
      </w:pPr>
      <w:r w:rsidRPr="00541B3A">
        <w:rPr>
          <w:rFonts w:eastAsia="Verdana"/>
          <w:sz w:val="20"/>
        </w:rPr>
        <w:t xml:space="preserve"> </w:t>
      </w:r>
    </w:p>
    <w:p w14:paraId="1A83F65A" w14:textId="77777777" w:rsidR="000E400A" w:rsidRPr="00541B3A" w:rsidRDefault="000E400A" w:rsidP="000E400A">
      <w:pPr>
        <w:spacing w:before="200"/>
        <w:rPr>
          <w:rFonts w:eastAsia="Verdana"/>
          <w:sz w:val="20"/>
        </w:rPr>
      </w:pPr>
      <w:r w:rsidRPr="00541B3A">
        <w:rPr>
          <w:rFonts w:eastAsia="Verdana"/>
          <w:sz w:val="20"/>
        </w:rPr>
        <w:t xml:space="preserve"> </w:t>
      </w:r>
    </w:p>
    <w:p w14:paraId="538EA6E6" w14:textId="77777777" w:rsidR="000E400A" w:rsidRPr="00541B3A" w:rsidRDefault="000E400A" w:rsidP="000E400A">
      <w:pPr>
        <w:spacing w:before="200"/>
        <w:jc w:val="center"/>
        <w:rPr>
          <w:rFonts w:eastAsia="Verdana"/>
          <w:sz w:val="20"/>
        </w:rPr>
      </w:pPr>
      <w:r w:rsidRPr="00541B3A">
        <w:rPr>
          <w:rFonts w:eastAsia="Verdana"/>
          <w:sz w:val="20"/>
        </w:rPr>
        <w:t xml:space="preserve"> </w:t>
      </w:r>
    </w:p>
    <w:p w14:paraId="22A594FB" w14:textId="77777777" w:rsidR="000E400A" w:rsidRPr="00541B3A" w:rsidRDefault="000E400A" w:rsidP="000E400A">
      <w:pPr>
        <w:spacing w:before="200"/>
        <w:rPr>
          <w:rFonts w:eastAsia="Verdana"/>
          <w:sz w:val="20"/>
        </w:rPr>
      </w:pPr>
      <w:r w:rsidRPr="00541B3A">
        <w:rPr>
          <w:rFonts w:eastAsia="Verdana"/>
          <w:sz w:val="20"/>
        </w:rPr>
        <w:t xml:space="preserve"> </w:t>
      </w:r>
    </w:p>
    <w:p w14:paraId="45512957" w14:textId="77777777" w:rsidR="000E400A" w:rsidRPr="00541B3A" w:rsidRDefault="000E400A" w:rsidP="000E400A">
      <w:pPr>
        <w:spacing w:before="200"/>
        <w:rPr>
          <w:rFonts w:eastAsia="Verdana"/>
          <w:sz w:val="20"/>
        </w:rPr>
      </w:pPr>
      <w:r w:rsidRPr="00541B3A">
        <w:rPr>
          <w:rFonts w:eastAsia="Verdana"/>
          <w:sz w:val="20"/>
        </w:rPr>
        <w:t xml:space="preserve"> </w:t>
      </w:r>
    </w:p>
    <w:p w14:paraId="55ABC55F" w14:textId="77777777" w:rsidR="000E400A" w:rsidRPr="00541B3A" w:rsidRDefault="000E400A" w:rsidP="000E400A">
      <w:pPr>
        <w:spacing w:before="200"/>
        <w:rPr>
          <w:rFonts w:eastAsia="Verdana"/>
          <w:sz w:val="20"/>
        </w:rPr>
      </w:pPr>
      <w:r w:rsidRPr="00541B3A">
        <w:rPr>
          <w:rFonts w:eastAsia="Verdana"/>
          <w:sz w:val="20"/>
        </w:rPr>
        <w:t xml:space="preserve"> </w:t>
      </w:r>
    </w:p>
    <w:p w14:paraId="39BFB464" w14:textId="77777777" w:rsidR="000E400A" w:rsidRDefault="000E400A" w:rsidP="000E400A">
      <w:pPr>
        <w:spacing w:before="200"/>
        <w:rPr>
          <w:rFonts w:eastAsia="Verdana"/>
          <w:sz w:val="20"/>
        </w:rPr>
      </w:pPr>
    </w:p>
    <w:p w14:paraId="0A7822DE" w14:textId="77777777" w:rsidR="000E400A" w:rsidRDefault="000E400A" w:rsidP="000E400A">
      <w:pPr>
        <w:spacing w:before="200"/>
        <w:rPr>
          <w:rFonts w:eastAsia="Verdana"/>
          <w:sz w:val="20"/>
        </w:rPr>
      </w:pPr>
    </w:p>
    <w:p w14:paraId="3DDE5D84" w14:textId="77777777" w:rsidR="000E400A" w:rsidRDefault="000E400A" w:rsidP="000E400A">
      <w:pPr>
        <w:spacing w:before="200"/>
        <w:rPr>
          <w:rFonts w:eastAsia="Verdana"/>
          <w:sz w:val="20"/>
        </w:rPr>
      </w:pPr>
    </w:p>
    <w:p w14:paraId="16B653A4" w14:textId="77777777" w:rsidR="000E400A" w:rsidRDefault="000E400A" w:rsidP="000E400A">
      <w:pPr>
        <w:spacing w:before="200"/>
        <w:rPr>
          <w:rFonts w:eastAsia="Verdana"/>
          <w:sz w:val="20"/>
        </w:rPr>
      </w:pPr>
    </w:p>
    <w:p w14:paraId="6BB38761" w14:textId="77777777" w:rsidR="000E400A" w:rsidRDefault="000E400A" w:rsidP="000E400A">
      <w:pPr>
        <w:spacing w:before="200"/>
        <w:rPr>
          <w:rFonts w:eastAsia="Verdana"/>
          <w:sz w:val="20"/>
        </w:rPr>
      </w:pPr>
    </w:p>
    <w:p w14:paraId="615D750B" w14:textId="77777777" w:rsidR="000E400A" w:rsidRDefault="000E400A" w:rsidP="000E400A">
      <w:pPr>
        <w:spacing w:before="200"/>
        <w:rPr>
          <w:rFonts w:eastAsia="Verdana"/>
          <w:sz w:val="20"/>
        </w:rPr>
      </w:pPr>
    </w:p>
    <w:p w14:paraId="59601AE9" w14:textId="77777777" w:rsidR="000E400A" w:rsidRDefault="000E400A" w:rsidP="000E400A">
      <w:pPr>
        <w:spacing w:before="200"/>
        <w:rPr>
          <w:rFonts w:eastAsia="Verdana"/>
          <w:sz w:val="20"/>
        </w:rPr>
      </w:pPr>
    </w:p>
    <w:p w14:paraId="56F53668" w14:textId="77777777" w:rsidR="000E400A" w:rsidRDefault="000E400A" w:rsidP="000E400A">
      <w:pPr>
        <w:spacing w:before="200"/>
        <w:rPr>
          <w:rFonts w:eastAsia="Verdana"/>
          <w:sz w:val="20"/>
        </w:rPr>
      </w:pPr>
    </w:p>
    <w:p w14:paraId="183524DA" w14:textId="77777777" w:rsidR="000E400A" w:rsidRDefault="000E400A" w:rsidP="000E400A">
      <w:pPr>
        <w:spacing w:before="200"/>
        <w:rPr>
          <w:rFonts w:eastAsia="Verdana"/>
          <w:sz w:val="20"/>
        </w:rPr>
      </w:pPr>
    </w:p>
    <w:p w14:paraId="49D37658" w14:textId="77777777" w:rsidR="00A2722B" w:rsidRDefault="00A2722B" w:rsidP="00A2722B">
      <w:pPr>
        <w:spacing w:before="200"/>
        <w:rPr>
          <w:rFonts w:eastAsia="Verdana"/>
          <w:sz w:val="20"/>
        </w:rPr>
      </w:pPr>
      <w:r w:rsidRPr="00541B3A">
        <w:rPr>
          <w:rFonts w:eastAsia="Verdana"/>
          <w:sz w:val="20"/>
        </w:rPr>
        <w:t>Edustandaard</w:t>
      </w:r>
    </w:p>
    <w:p w14:paraId="506FDBD2" w14:textId="77777777" w:rsidR="005071BE" w:rsidRPr="00541B3A" w:rsidRDefault="005071BE" w:rsidP="00A2722B">
      <w:pPr>
        <w:spacing w:before="200"/>
        <w:rPr>
          <w:rFonts w:eastAsia="Verdana"/>
          <w:sz w:val="20"/>
        </w:rPr>
      </w:pPr>
      <w:r>
        <w:rPr>
          <w:rFonts w:eastAsia="Verdana"/>
          <w:sz w:val="20"/>
        </w:rPr>
        <w:t xml:space="preserve">Status: </w:t>
      </w:r>
      <w:r w:rsidR="00D17AD9">
        <w:rPr>
          <w:rFonts w:eastAsia="Verdana"/>
          <w:sz w:val="20"/>
        </w:rPr>
        <w:t>ter besluitvorming</w:t>
      </w:r>
    </w:p>
    <w:p w14:paraId="6E50D690" w14:textId="77777777" w:rsidR="00A2722B" w:rsidRPr="00541B3A" w:rsidRDefault="005071BE" w:rsidP="00A2722B">
      <w:pPr>
        <w:spacing w:before="200"/>
        <w:rPr>
          <w:rFonts w:eastAsia="Verdana"/>
          <w:sz w:val="20"/>
        </w:rPr>
      </w:pPr>
      <w:r>
        <w:rPr>
          <w:rFonts w:eastAsia="Verdana"/>
          <w:sz w:val="20"/>
        </w:rPr>
        <w:t xml:space="preserve">Datum: </w:t>
      </w:r>
      <w:r w:rsidR="00D17AD9">
        <w:rPr>
          <w:rFonts w:eastAsia="Verdana"/>
          <w:sz w:val="20"/>
        </w:rPr>
        <w:t>19 januari 2018</w:t>
      </w:r>
    </w:p>
    <w:sdt>
      <w:sdtPr>
        <w:rPr>
          <w:rFonts w:asciiTheme="minorHAnsi" w:eastAsiaTheme="minorHAnsi" w:hAnsiTheme="minorHAnsi" w:cstheme="minorBidi"/>
          <w:b/>
          <w:bCs/>
          <w:color w:val="auto"/>
          <w:sz w:val="18"/>
          <w:szCs w:val="18"/>
          <w:lang w:eastAsia="zh-TW" w:bidi="hi-IN"/>
        </w:rPr>
        <w:id w:val="13349679"/>
        <w:docPartObj>
          <w:docPartGallery w:val="Table of Contents"/>
          <w:docPartUnique/>
        </w:docPartObj>
      </w:sdtPr>
      <w:sdtEndPr>
        <w:rPr>
          <w:b w:val="0"/>
          <w:bCs w:val="0"/>
          <w:sz w:val="22"/>
          <w:szCs w:val="22"/>
          <w:lang w:eastAsia="en-US" w:bidi="ar-SA"/>
        </w:rPr>
      </w:sdtEndPr>
      <w:sdtContent>
        <w:p w14:paraId="2E4432E5" w14:textId="77777777" w:rsidR="000E400A" w:rsidRPr="00FD0496" w:rsidRDefault="000E400A" w:rsidP="000E400A">
          <w:pPr>
            <w:pStyle w:val="Kopvaninhoudsopgave"/>
            <w:rPr>
              <w:b/>
              <w:sz w:val="24"/>
              <w:szCs w:val="24"/>
            </w:rPr>
          </w:pPr>
          <w:r w:rsidRPr="00FD0496">
            <w:rPr>
              <w:b/>
              <w:sz w:val="24"/>
              <w:szCs w:val="24"/>
            </w:rPr>
            <w:t>Inhoudsopgave</w:t>
          </w:r>
        </w:p>
        <w:p w14:paraId="3E617421" w14:textId="4B10EC0F" w:rsidR="00F46DF8" w:rsidRDefault="000E400A">
          <w:pPr>
            <w:pStyle w:val="Inhopg1"/>
            <w:rPr>
              <w:rFonts w:asciiTheme="minorHAnsi" w:eastAsiaTheme="minorEastAsia" w:hAnsiTheme="minorHAnsi"/>
              <w:b w:val="0"/>
              <w:bCs w:val="0"/>
              <w:noProof/>
              <w:color w:val="auto"/>
              <w:sz w:val="22"/>
              <w:lang w:eastAsia="nl-NL" w:bidi="ar-SA"/>
            </w:rPr>
          </w:pPr>
          <w:r w:rsidRPr="00FD0496">
            <w:fldChar w:fldCharType="begin"/>
          </w:r>
          <w:r w:rsidRPr="00FD0496">
            <w:instrText>TOC \o "1-3" \h \z \u</w:instrText>
          </w:r>
          <w:r w:rsidRPr="00FD0496">
            <w:fldChar w:fldCharType="separate"/>
          </w:r>
          <w:hyperlink w:anchor="_Toc504132228" w:history="1">
            <w:r w:rsidR="00F46DF8" w:rsidRPr="00D30A66">
              <w:rPr>
                <w:rStyle w:val="Hyperlink"/>
                <w:noProof/>
              </w:rPr>
              <w:t>1.</w:t>
            </w:r>
            <w:r w:rsidR="00F46DF8">
              <w:rPr>
                <w:rFonts w:asciiTheme="minorHAnsi" w:eastAsiaTheme="minorEastAsia" w:hAnsiTheme="minorHAnsi"/>
                <w:b w:val="0"/>
                <w:bCs w:val="0"/>
                <w:noProof/>
                <w:color w:val="auto"/>
                <w:sz w:val="22"/>
                <w:lang w:eastAsia="nl-NL" w:bidi="ar-SA"/>
              </w:rPr>
              <w:tab/>
            </w:r>
            <w:r w:rsidR="00F46DF8" w:rsidRPr="00D30A66">
              <w:rPr>
                <w:rStyle w:val="Hyperlink"/>
                <w:noProof/>
              </w:rPr>
              <w:t>Inleiding</w:t>
            </w:r>
            <w:r w:rsidR="00F46DF8">
              <w:rPr>
                <w:noProof/>
                <w:webHidden/>
              </w:rPr>
              <w:tab/>
            </w:r>
            <w:r w:rsidR="00F46DF8">
              <w:rPr>
                <w:noProof/>
                <w:webHidden/>
              </w:rPr>
              <w:fldChar w:fldCharType="begin"/>
            </w:r>
            <w:r w:rsidR="00F46DF8">
              <w:rPr>
                <w:noProof/>
                <w:webHidden/>
              </w:rPr>
              <w:instrText xml:space="preserve"> PAGEREF _Toc504132228 \h </w:instrText>
            </w:r>
            <w:r w:rsidR="00F46DF8">
              <w:rPr>
                <w:noProof/>
                <w:webHidden/>
              </w:rPr>
            </w:r>
            <w:r w:rsidR="00F46DF8">
              <w:rPr>
                <w:noProof/>
                <w:webHidden/>
              </w:rPr>
              <w:fldChar w:fldCharType="separate"/>
            </w:r>
            <w:r w:rsidR="00F46DF8">
              <w:rPr>
                <w:noProof/>
                <w:webHidden/>
              </w:rPr>
              <w:t>2</w:t>
            </w:r>
            <w:r w:rsidR="00F46DF8">
              <w:rPr>
                <w:noProof/>
                <w:webHidden/>
              </w:rPr>
              <w:fldChar w:fldCharType="end"/>
            </w:r>
          </w:hyperlink>
        </w:p>
        <w:p w14:paraId="3BB0EF3A" w14:textId="22493A99" w:rsidR="00F46DF8" w:rsidRDefault="00F46DF8">
          <w:pPr>
            <w:pStyle w:val="Inhopg2"/>
            <w:tabs>
              <w:tab w:val="left" w:pos="880"/>
              <w:tab w:val="right" w:pos="9062"/>
            </w:tabs>
            <w:rPr>
              <w:rFonts w:asciiTheme="minorHAnsi" w:eastAsiaTheme="minorEastAsia" w:hAnsiTheme="minorHAnsi"/>
              <w:i w:val="0"/>
              <w:iCs w:val="0"/>
              <w:noProof/>
              <w:color w:val="auto"/>
              <w:sz w:val="22"/>
              <w:lang w:eastAsia="nl-NL" w:bidi="ar-SA"/>
            </w:rPr>
          </w:pPr>
          <w:hyperlink w:anchor="_Toc504132229" w:history="1">
            <w:r w:rsidRPr="00D30A66">
              <w:rPr>
                <w:rStyle w:val="Hyperlink"/>
                <w:noProof/>
              </w:rPr>
              <w:t>1.1.</w:t>
            </w:r>
            <w:r>
              <w:rPr>
                <w:rFonts w:asciiTheme="minorHAnsi" w:eastAsiaTheme="minorEastAsia" w:hAnsiTheme="minorHAnsi"/>
                <w:i w:val="0"/>
                <w:iCs w:val="0"/>
                <w:noProof/>
                <w:color w:val="auto"/>
                <w:sz w:val="22"/>
                <w:lang w:eastAsia="nl-NL" w:bidi="ar-SA"/>
              </w:rPr>
              <w:tab/>
            </w:r>
            <w:r w:rsidRPr="00D30A66">
              <w:rPr>
                <w:rStyle w:val="Hyperlink"/>
                <w:noProof/>
              </w:rPr>
              <w:t>Doel en doelgroep van dit document</w:t>
            </w:r>
            <w:r>
              <w:rPr>
                <w:noProof/>
                <w:webHidden/>
              </w:rPr>
              <w:tab/>
            </w:r>
            <w:r>
              <w:rPr>
                <w:noProof/>
                <w:webHidden/>
              </w:rPr>
              <w:fldChar w:fldCharType="begin"/>
            </w:r>
            <w:r>
              <w:rPr>
                <w:noProof/>
                <w:webHidden/>
              </w:rPr>
              <w:instrText xml:space="preserve"> PAGEREF _Toc504132229 \h </w:instrText>
            </w:r>
            <w:r>
              <w:rPr>
                <w:noProof/>
                <w:webHidden/>
              </w:rPr>
            </w:r>
            <w:r>
              <w:rPr>
                <w:noProof/>
                <w:webHidden/>
              </w:rPr>
              <w:fldChar w:fldCharType="separate"/>
            </w:r>
            <w:r>
              <w:rPr>
                <w:noProof/>
                <w:webHidden/>
              </w:rPr>
              <w:t>2</w:t>
            </w:r>
            <w:r>
              <w:rPr>
                <w:noProof/>
                <w:webHidden/>
              </w:rPr>
              <w:fldChar w:fldCharType="end"/>
            </w:r>
          </w:hyperlink>
        </w:p>
        <w:p w14:paraId="0DD66ABA" w14:textId="43D17A46" w:rsidR="00F46DF8" w:rsidRDefault="00F46DF8">
          <w:pPr>
            <w:pStyle w:val="Inhopg2"/>
            <w:tabs>
              <w:tab w:val="left" w:pos="880"/>
              <w:tab w:val="right" w:pos="9062"/>
            </w:tabs>
            <w:rPr>
              <w:rFonts w:asciiTheme="minorHAnsi" w:eastAsiaTheme="minorEastAsia" w:hAnsiTheme="minorHAnsi"/>
              <w:i w:val="0"/>
              <w:iCs w:val="0"/>
              <w:noProof/>
              <w:color w:val="auto"/>
              <w:sz w:val="22"/>
              <w:lang w:eastAsia="nl-NL" w:bidi="ar-SA"/>
            </w:rPr>
          </w:pPr>
          <w:hyperlink w:anchor="_Toc504132230" w:history="1">
            <w:r w:rsidRPr="00D30A66">
              <w:rPr>
                <w:rStyle w:val="Hyperlink"/>
                <w:noProof/>
              </w:rPr>
              <w:t>1.2.</w:t>
            </w:r>
            <w:r>
              <w:rPr>
                <w:rFonts w:asciiTheme="minorHAnsi" w:eastAsiaTheme="minorEastAsia" w:hAnsiTheme="minorHAnsi"/>
                <w:i w:val="0"/>
                <w:iCs w:val="0"/>
                <w:noProof/>
                <w:color w:val="auto"/>
                <w:sz w:val="22"/>
                <w:lang w:eastAsia="nl-NL" w:bidi="ar-SA"/>
              </w:rPr>
              <w:tab/>
            </w:r>
            <w:r w:rsidRPr="00D30A66">
              <w:rPr>
                <w:rStyle w:val="Hyperlink"/>
                <w:noProof/>
              </w:rPr>
              <w:t>Kernbegrippen</w:t>
            </w:r>
            <w:r>
              <w:rPr>
                <w:noProof/>
                <w:webHidden/>
              </w:rPr>
              <w:tab/>
            </w:r>
            <w:r>
              <w:rPr>
                <w:noProof/>
                <w:webHidden/>
              </w:rPr>
              <w:fldChar w:fldCharType="begin"/>
            </w:r>
            <w:r>
              <w:rPr>
                <w:noProof/>
                <w:webHidden/>
              </w:rPr>
              <w:instrText xml:space="preserve"> PAGEREF _Toc504132230 \h </w:instrText>
            </w:r>
            <w:r>
              <w:rPr>
                <w:noProof/>
                <w:webHidden/>
              </w:rPr>
            </w:r>
            <w:r>
              <w:rPr>
                <w:noProof/>
                <w:webHidden/>
              </w:rPr>
              <w:fldChar w:fldCharType="separate"/>
            </w:r>
            <w:r>
              <w:rPr>
                <w:noProof/>
                <w:webHidden/>
              </w:rPr>
              <w:t>3</w:t>
            </w:r>
            <w:r>
              <w:rPr>
                <w:noProof/>
                <w:webHidden/>
              </w:rPr>
              <w:fldChar w:fldCharType="end"/>
            </w:r>
          </w:hyperlink>
        </w:p>
        <w:p w14:paraId="75C90F33" w14:textId="3177A53C" w:rsidR="00F46DF8" w:rsidRDefault="00F46DF8">
          <w:pPr>
            <w:pStyle w:val="Inhopg1"/>
            <w:rPr>
              <w:rFonts w:asciiTheme="minorHAnsi" w:eastAsiaTheme="minorEastAsia" w:hAnsiTheme="minorHAnsi"/>
              <w:b w:val="0"/>
              <w:bCs w:val="0"/>
              <w:noProof/>
              <w:color w:val="auto"/>
              <w:sz w:val="22"/>
              <w:lang w:eastAsia="nl-NL" w:bidi="ar-SA"/>
            </w:rPr>
          </w:pPr>
          <w:hyperlink w:anchor="_Toc504132231" w:history="1">
            <w:r w:rsidRPr="00D30A66">
              <w:rPr>
                <w:rStyle w:val="Hyperlink"/>
                <w:noProof/>
              </w:rPr>
              <w:t>2. Overzicht SAAS-model</w:t>
            </w:r>
            <w:r>
              <w:rPr>
                <w:noProof/>
                <w:webHidden/>
              </w:rPr>
              <w:tab/>
            </w:r>
            <w:r>
              <w:rPr>
                <w:noProof/>
                <w:webHidden/>
              </w:rPr>
              <w:fldChar w:fldCharType="begin"/>
            </w:r>
            <w:r>
              <w:rPr>
                <w:noProof/>
                <w:webHidden/>
              </w:rPr>
              <w:instrText xml:space="preserve"> PAGEREF _Toc504132231 \h </w:instrText>
            </w:r>
            <w:r>
              <w:rPr>
                <w:noProof/>
                <w:webHidden/>
              </w:rPr>
            </w:r>
            <w:r>
              <w:rPr>
                <w:noProof/>
                <w:webHidden/>
              </w:rPr>
              <w:fldChar w:fldCharType="separate"/>
            </w:r>
            <w:r>
              <w:rPr>
                <w:noProof/>
                <w:webHidden/>
              </w:rPr>
              <w:t>4</w:t>
            </w:r>
            <w:r>
              <w:rPr>
                <w:noProof/>
                <w:webHidden/>
              </w:rPr>
              <w:fldChar w:fldCharType="end"/>
            </w:r>
          </w:hyperlink>
        </w:p>
        <w:p w14:paraId="3D59091E" w14:textId="4C2FADD4" w:rsidR="00F46DF8" w:rsidRDefault="00F46DF8">
          <w:pPr>
            <w:pStyle w:val="Inhopg1"/>
            <w:rPr>
              <w:rFonts w:asciiTheme="minorHAnsi" w:eastAsiaTheme="minorEastAsia" w:hAnsiTheme="minorHAnsi"/>
              <w:b w:val="0"/>
              <w:bCs w:val="0"/>
              <w:noProof/>
              <w:color w:val="auto"/>
              <w:sz w:val="22"/>
              <w:lang w:eastAsia="nl-NL" w:bidi="ar-SA"/>
            </w:rPr>
          </w:pPr>
          <w:hyperlink w:anchor="_Toc504132232" w:history="1">
            <w:r w:rsidRPr="00D30A66">
              <w:rPr>
                <w:rStyle w:val="Hyperlink"/>
                <w:noProof/>
              </w:rPr>
              <w:t>3</w:t>
            </w:r>
            <w:r>
              <w:rPr>
                <w:rFonts w:asciiTheme="minorHAnsi" w:eastAsiaTheme="minorEastAsia" w:hAnsiTheme="minorHAnsi"/>
                <w:b w:val="0"/>
                <w:bCs w:val="0"/>
                <w:noProof/>
                <w:color w:val="auto"/>
                <w:sz w:val="22"/>
                <w:lang w:eastAsia="nl-NL" w:bidi="ar-SA"/>
              </w:rPr>
              <w:tab/>
            </w:r>
            <w:r w:rsidRPr="00D30A66">
              <w:rPr>
                <w:rStyle w:val="Hyperlink"/>
                <w:noProof/>
              </w:rPr>
              <w:t>Logistieke identiteit</w:t>
            </w:r>
            <w:r>
              <w:rPr>
                <w:noProof/>
                <w:webHidden/>
              </w:rPr>
              <w:tab/>
            </w:r>
            <w:r>
              <w:rPr>
                <w:noProof/>
                <w:webHidden/>
              </w:rPr>
              <w:fldChar w:fldCharType="begin"/>
            </w:r>
            <w:r>
              <w:rPr>
                <w:noProof/>
                <w:webHidden/>
              </w:rPr>
              <w:instrText xml:space="preserve"> PAGEREF _Toc504132232 \h </w:instrText>
            </w:r>
            <w:r>
              <w:rPr>
                <w:noProof/>
                <w:webHidden/>
              </w:rPr>
            </w:r>
            <w:r>
              <w:rPr>
                <w:noProof/>
                <w:webHidden/>
              </w:rPr>
              <w:fldChar w:fldCharType="separate"/>
            </w:r>
            <w:r>
              <w:rPr>
                <w:noProof/>
                <w:webHidden/>
              </w:rPr>
              <w:t>5</w:t>
            </w:r>
            <w:r>
              <w:rPr>
                <w:noProof/>
                <w:webHidden/>
              </w:rPr>
              <w:fldChar w:fldCharType="end"/>
            </w:r>
          </w:hyperlink>
        </w:p>
        <w:p w14:paraId="1BBFABD4" w14:textId="79C6DCEF" w:rsidR="00F46DF8" w:rsidRDefault="00F46DF8">
          <w:pPr>
            <w:pStyle w:val="Inhopg2"/>
            <w:tabs>
              <w:tab w:val="right" w:pos="9062"/>
            </w:tabs>
            <w:rPr>
              <w:rFonts w:asciiTheme="minorHAnsi" w:eastAsiaTheme="minorEastAsia" w:hAnsiTheme="minorHAnsi"/>
              <w:i w:val="0"/>
              <w:iCs w:val="0"/>
              <w:noProof/>
              <w:color w:val="auto"/>
              <w:sz w:val="22"/>
              <w:lang w:eastAsia="nl-NL" w:bidi="ar-SA"/>
            </w:rPr>
          </w:pPr>
          <w:hyperlink w:anchor="_Toc504132233" w:history="1">
            <w:r w:rsidRPr="00D30A66">
              <w:rPr>
                <w:rStyle w:val="Hyperlink"/>
                <w:noProof/>
              </w:rPr>
              <w:t>3.1   Header vs body</w:t>
            </w:r>
            <w:r>
              <w:rPr>
                <w:noProof/>
                <w:webHidden/>
              </w:rPr>
              <w:tab/>
            </w:r>
            <w:r>
              <w:rPr>
                <w:noProof/>
                <w:webHidden/>
              </w:rPr>
              <w:fldChar w:fldCharType="begin"/>
            </w:r>
            <w:r>
              <w:rPr>
                <w:noProof/>
                <w:webHidden/>
              </w:rPr>
              <w:instrText xml:space="preserve"> PAGEREF _Toc504132233 \h </w:instrText>
            </w:r>
            <w:r>
              <w:rPr>
                <w:noProof/>
                <w:webHidden/>
              </w:rPr>
            </w:r>
            <w:r>
              <w:rPr>
                <w:noProof/>
                <w:webHidden/>
              </w:rPr>
              <w:fldChar w:fldCharType="separate"/>
            </w:r>
            <w:r>
              <w:rPr>
                <w:noProof/>
                <w:webHidden/>
              </w:rPr>
              <w:t>5</w:t>
            </w:r>
            <w:r>
              <w:rPr>
                <w:noProof/>
                <w:webHidden/>
              </w:rPr>
              <w:fldChar w:fldCharType="end"/>
            </w:r>
          </w:hyperlink>
        </w:p>
        <w:p w14:paraId="232F9505" w14:textId="61D453E0" w:rsidR="00F46DF8" w:rsidRDefault="00F46DF8">
          <w:pPr>
            <w:pStyle w:val="Inhopg2"/>
            <w:tabs>
              <w:tab w:val="right" w:pos="9062"/>
            </w:tabs>
            <w:rPr>
              <w:rFonts w:asciiTheme="minorHAnsi" w:eastAsiaTheme="minorEastAsia" w:hAnsiTheme="minorHAnsi"/>
              <w:i w:val="0"/>
              <w:iCs w:val="0"/>
              <w:noProof/>
              <w:color w:val="auto"/>
              <w:sz w:val="22"/>
              <w:lang w:eastAsia="nl-NL" w:bidi="ar-SA"/>
            </w:rPr>
          </w:pPr>
          <w:hyperlink w:anchor="_Toc504132234" w:history="1">
            <w:r w:rsidRPr="00D30A66">
              <w:rPr>
                <w:rStyle w:val="Hyperlink"/>
                <w:noProof/>
              </w:rPr>
              <w:t>3.2   School of rechtspersoon</w:t>
            </w:r>
            <w:r>
              <w:rPr>
                <w:noProof/>
                <w:webHidden/>
              </w:rPr>
              <w:tab/>
            </w:r>
            <w:r>
              <w:rPr>
                <w:noProof/>
                <w:webHidden/>
              </w:rPr>
              <w:fldChar w:fldCharType="begin"/>
            </w:r>
            <w:r>
              <w:rPr>
                <w:noProof/>
                <w:webHidden/>
              </w:rPr>
              <w:instrText xml:space="preserve"> PAGEREF _Toc504132234 \h </w:instrText>
            </w:r>
            <w:r>
              <w:rPr>
                <w:noProof/>
                <w:webHidden/>
              </w:rPr>
            </w:r>
            <w:r>
              <w:rPr>
                <w:noProof/>
                <w:webHidden/>
              </w:rPr>
              <w:fldChar w:fldCharType="separate"/>
            </w:r>
            <w:r>
              <w:rPr>
                <w:noProof/>
                <w:webHidden/>
              </w:rPr>
              <w:t>6</w:t>
            </w:r>
            <w:r>
              <w:rPr>
                <w:noProof/>
                <w:webHidden/>
              </w:rPr>
              <w:fldChar w:fldCharType="end"/>
            </w:r>
          </w:hyperlink>
        </w:p>
        <w:p w14:paraId="7374B2B6" w14:textId="512D5DEB" w:rsidR="00F46DF8" w:rsidRDefault="00F46DF8">
          <w:pPr>
            <w:pStyle w:val="Inhopg2"/>
            <w:tabs>
              <w:tab w:val="right" w:pos="9062"/>
            </w:tabs>
            <w:rPr>
              <w:rFonts w:asciiTheme="minorHAnsi" w:eastAsiaTheme="minorEastAsia" w:hAnsiTheme="minorHAnsi"/>
              <w:i w:val="0"/>
              <w:iCs w:val="0"/>
              <w:noProof/>
              <w:color w:val="auto"/>
              <w:sz w:val="22"/>
              <w:lang w:eastAsia="nl-NL" w:bidi="ar-SA"/>
            </w:rPr>
          </w:pPr>
          <w:hyperlink w:anchor="_Toc504132235" w:history="1">
            <w:r w:rsidRPr="00D30A66">
              <w:rPr>
                <w:rStyle w:val="Hyperlink"/>
                <w:noProof/>
              </w:rPr>
              <w:t>3.3   Administraties</w:t>
            </w:r>
            <w:r>
              <w:rPr>
                <w:noProof/>
                <w:webHidden/>
              </w:rPr>
              <w:tab/>
            </w:r>
            <w:r>
              <w:rPr>
                <w:noProof/>
                <w:webHidden/>
              </w:rPr>
              <w:fldChar w:fldCharType="begin"/>
            </w:r>
            <w:r>
              <w:rPr>
                <w:noProof/>
                <w:webHidden/>
              </w:rPr>
              <w:instrText xml:space="preserve"> PAGEREF _Toc504132235 \h </w:instrText>
            </w:r>
            <w:r>
              <w:rPr>
                <w:noProof/>
                <w:webHidden/>
              </w:rPr>
            </w:r>
            <w:r>
              <w:rPr>
                <w:noProof/>
                <w:webHidden/>
              </w:rPr>
              <w:fldChar w:fldCharType="separate"/>
            </w:r>
            <w:r>
              <w:rPr>
                <w:noProof/>
                <w:webHidden/>
              </w:rPr>
              <w:t>7</w:t>
            </w:r>
            <w:r>
              <w:rPr>
                <w:noProof/>
                <w:webHidden/>
              </w:rPr>
              <w:fldChar w:fldCharType="end"/>
            </w:r>
          </w:hyperlink>
        </w:p>
        <w:p w14:paraId="5EF8DE69" w14:textId="725506B8" w:rsidR="00F46DF8" w:rsidRDefault="00F46DF8">
          <w:pPr>
            <w:pStyle w:val="Inhopg1"/>
            <w:rPr>
              <w:rFonts w:asciiTheme="minorHAnsi" w:eastAsiaTheme="minorEastAsia" w:hAnsiTheme="minorHAnsi"/>
              <w:b w:val="0"/>
              <w:bCs w:val="0"/>
              <w:noProof/>
              <w:color w:val="auto"/>
              <w:sz w:val="22"/>
              <w:lang w:eastAsia="nl-NL" w:bidi="ar-SA"/>
            </w:rPr>
          </w:pPr>
          <w:hyperlink w:anchor="_Toc504132236" w:history="1">
            <w:r w:rsidRPr="00D30A66">
              <w:rPr>
                <w:rStyle w:val="Hyperlink"/>
                <w:noProof/>
              </w:rPr>
              <w:t>4</w:t>
            </w:r>
            <w:r>
              <w:rPr>
                <w:rFonts w:asciiTheme="minorHAnsi" w:eastAsiaTheme="minorEastAsia" w:hAnsiTheme="minorHAnsi"/>
                <w:b w:val="0"/>
                <w:bCs w:val="0"/>
                <w:noProof/>
                <w:color w:val="auto"/>
                <w:sz w:val="22"/>
                <w:lang w:eastAsia="nl-NL" w:bidi="ar-SA"/>
              </w:rPr>
              <w:tab/>
            </w:r>
            <w:r w:rsidRPr="00D30A66">
              <w:rPr>
                <w:rStyle w:val="Hyperlink"/>
                <w:noProof/>
              </w:rPr>
              <w:t>Afronding</w:t>
            </w:r>
            <w:r>
              <w:rPr>
                <w:noProof/>
                <w:webHidden/>
              </w:rPr>
              <w:tab/>
            </w:r>
            <w:r>
              <w:rPr>
                <w:noProof/>
                <w:webHidden/>
              </w:rPr>
              <w:fldChar w:fldCharType="begin"/>
            </w:r>
            <w:r>
              <w:rPr>
                <w:noProof/>
                <w:webHidden/>
              </w:rPr>
              <w:instrText xml:space="preserve"> PAGEREF _Toc504132236 \h </w:instrText>
            </w:r>
            <w:r>
              <w:rPr>
                <w:noProof/>
                <w:webHidden/>
              </w:rPr>
            </w:r>
            <w:r>
              <w:rPr>
                <w:noProof/>
                <w:webHidden/>
              </w:rPr>
              <w:fldChar w:fldCharType="separate"/>
            </w:r>
            <w:r>
              <w:rPr>
                <w:noProof/>
                <w:webHidden/>
              </w:rPr>
              <w:t>8</w:t>
            </w:r>
            <w:r>
              <w:rPr>
                <w:noProof/>
                <w:webHidden/>
              </w:rPr>
              <w:fldChar w:fldCharType="end"/>
            </w:r>
          </w:hyperlink>
        </w:p>
        <w:p w14:paraId="413A37B2" w14:textId="51BF991B" w:rsidR="000E400A" w:rsidRPr="00FD0496" w:rsidRDefault="000E400A" w:rsidP="000E400A">
          <w:r w:rsidRPr="00FD0496">
            <w:rPr>
              <w:b/>
              <w:bCs/>
            </w:rPr>
            <w:fldChar w:fldCharType="end"/>
          </w:r>
        </w:p>
      </w:sdtContent>
    </w:sdt>
    <w:p w14:paraId="71776C12" w14:textId="77777777" w:rsidR="000E400A" w:rsidRPr="00FD0496" w:rsidRDefault="000E400A" w:rsidP="000E400A"/>
    <w:p w14:paraId="0D79E887" w14:textId="572AC20C" w:rsidR="000E400A" w:rsidRDefault="000E400A" w:rsidP="000E400A">
      <w:pPr>
        <w:spacing w:line="240" w:lineRule="auto"/>
        <w:rPr>
          <w:rFonts w:eastAsiaTheme="majorEastAsia" w:cs="Arial"/>
          <w:b/>
          <w:bCs/>
          <w:sz w:val="28"/>
          <w:szCs w:val="28"/>
        </w:rPr>
      </w:pPr>
    </w:p>
    <w:p w14:paraId="18DA2B6F" w14:textId="77777777" w:rsidR="000E400A" w:rsidRDefault="000E400A" w:rsidP="000E400A">
      <w:pPr>
        <w:pStyle w:val="Kop1"/>
        <w:numPr>
          <w:ilvl w:val="0"/>
          <w:numId w:val="13"/>
        </w:numPr>
        <w:spacing w:before="400" w:after="200" w:line="260" w:lineRule="atLeast"/>
        <w:ind w:left="432" w:hanging="432"/>
      </w:pPr>
      <w:bookmarkStart w:id="1" w:name="_Toc504132228"/>
      <w:r>
        <w:t>Inleiding</w:t>
      </w:r>
      <w:bookmarkEnd w:id="1"/>
    </w:p>
    <w:p w14:paraId="04C0F122" w14:textId="77777777" w:rsidR="007D52D4" w:rsidRDefault="007D52D4" w:rsidP="000E400A">
      <w:pPr>
        <w:rPr>
          <w:sz w:val="24"/>
        </w:rPr>
      </w:pPr>
    </w:p>
    <w:p w14:paraId="78EF547A" w14:textId="77777777" w:rsidR="00D17AD9" w:rsidRDefault="00D17AD9" w:rsidP="000E400A">
      <w:pPr>
        <w:rPr>
          <w:sz w:val="24"/>
        </w:rPr>
      </w:pPr>
      <w:r>
        <w:rPr>
          <w:sz w:val="24"/>
        </w:rPr>
        <w:t xml:space="preserve">Edukoppeling </w:t>
      </w:r>
      <w:r w:rsidR="00C15378">
        <w:rPr>
          <w:sz w:val="24"/>
        </w:rPr>
        <w:t xml:space="preserve">is door de Edustandaard gemeenschap geaccepteerd als het communicatieprotocol voor organisatie die werkzaam zijn in het onderwijs. De Edukoppeling standaard is gebaseerd op het nationale protocol Digikoppeling. Dit omvat  de identificatie van de betrokken partijen met het zogenaamde Organisatie Identificerend Nummer (OIN). </w:t>
      </w:r>
    </w:p>
    <w:p w14:paraId="1088D631" w14:textId="77777777" w:rsidR="00830865" w:rsidRDefault="00F54EBD" w:rsidP="000E400A">
      <w:pPr>
        <w:rPr>
          <w:sz w:val="24"/>
        </w:rPr>
      </w:pPr>
      <w:r>
        <w:rPr>
          <w:sz w:val="24"/>
        </w:rPr>
        <w:t xml:space="preserve">In het onderwijs is het normaal geworden dat </w:t>
      </w:r>
      <w:r w:rsidR="001C41BA">
        <w:rPr>
          <w:sz w:val="24"/>
        </w:rPr>
        <w:t xml:space="preserve">onderwijsinstellingen in de cloud werken met één of meerdere </w:t>
      </w:r>
      <w:r>
        <w:rPr>
          <w:sz w:val="24"/>
        </w:rPr>
        <w:t>administratie</w:t>
      </w:r>
      <w:r w:rsidR="001C41BA">
        <w:rPr>
          <w:sz w:val="24"/>
        </w:rPr>
        <w:t xml:space="preserve">s. In dit verband hebben we het </w:t>
      </w:r>
      <w:r w:rsidR="00830865">
        <w:rPr>
          <w:sz w:val="24"/>
        </w:rPr>
        <w:t xml:space="preserve">met name </w:t>
      </w:r>
      <w:r w:rsidR="001C41BA">
        <w:rPr>
          <w:sz w:val="24"/>
        </w:rPr>
        <w:t>over SAAS-leveranciers (software-as-a-service)</w:t>
      </w:r>
      <w:r w:rsidR="00830865">
        <w:rPr>
          <w:sz w:val="24"/>
        </w:rPr>
        <w:t xml:space="preserve"> voor administratiesystemen </w:t>
      </w:r>
      <w:r w:rsidR="001C41BA">
        <w:rPr>
          <w:sz w:val="24"/>
        </w:rPr>
        <w:t xml:space="preserve">. </w:t>
      </w:r>
      <w:r w:rsidR="00830865">
        <w:rPr>
          <w:sz w:val="24"/>
        </w:rPr>
        <w:t xml:space="preserve">Deze administraties in de cloud wisselen vaak namens de onderwijsinstelling uit met andere instellingen, overheidsorganisaties of bedrijven.  </w:t>
      </w:r>
    </w:p>
    <w:p w14:paraId="6C8DD1AB" w14:textId="77777777" w:rsidR="00830865" w:rsidRDefault="00830865" w:rsidP="000E400A">
      <w:pPr>
        <w:rPr>
          <w:sz w:val="24"/>
        </w:rPr>
      </w:pPr>
      <w:r>
        <w:rPr>
          <w:sz w:val="24"/>
        </w:rPr>
        <w:t>Met de betrokkenen rond de werkgroep Edukoppeling is uitgebreid nagedacht over de soms best wel ingewikkelde situaties die daardoor ontstaan en hoe die in goede banen kunnen worden geleid. Deze best-practice is daarvan de weerslag.</w:t>
      </w:r>
    </w:p>
    <w:p w14:paraId="17B16BFC" w14:textId="77777777" w:rsidR="00830865" w:rsidRDefault="00830865" w:rsidP="000E400A">
      <w:pPr>
        <w:rPr>
          <w:sz w:val="24"/>
        </w:rPr>
      </w:pPr>
    </w:p>
    <w:p w14:paraId="0C885487" w14:textId="77777777" w:rsidR="000E400A" w:rsidRDefault="000E400A" w:rsidP="000E400A">
      <w:pPr>
        <w:pStyle w:val="Kop2"/>
        <w:numPr>
          <w:ilvl w:val="1"/>
          <w:numId w:val="13"/>
        </w:numPr>
        <w:spacing w:before="200" w:after="200" w:line="260" w:lineRule="atLeast"/>
        <w:ind w:left="576" w:hanging="576"/>
      </w:pPr>
      <w:bookmarkStart w:id="2" w:name="_Toc466965233"/>
      <w:bookmarkStart w:id="3" w:name="_Toc504132229"/>
      <w:r w:rsidRPr="004D5FFA">
        <w:t>Doel en doelgroep van dit document</w:t>
      </w:r>
      <w:bookmarkEnd w:id="2"/>
      <w:bookmarkEnd w:id="3"/>
      <w:r w:rsidRPr="004D5FFA">
        <w:t xml:space="preserve"> </w:t>
      </w:r>
    </w:p>
    <w:p w14:paraId="651F7870" w14:textId="77777777" w:rsidR="00957213" w:rsidRDefault="000E400A" w:rsidP="000E400A">
      <w:pPr>
        <w:rPr>
          <w:sz w:val="24"/>
        </w:rPr>
      </w:pPr>
      <w:r w:rsidRPr="00F82009">
        <w:rPr>
          <w:sz w:val="24"/>
        </w:rPr>
        <w:t>Dit document heeft als doel ondersteuning te bi</w:t>
      </w:r>
      <w:r w:rsidR="00094910">
        <w:rPr>
          <w:sz w:val="24"/>
        </w:rPr>
        <w:t>eden bij Edukoppeling implement</w:t>
      </w:r>
      <w:r w:rsidRPr="00F82009">
        <w:rPr>
          <w:sz w:val="24"/>
        </w:rPr>
        <w:t>aties</w:t>
      </w:r>
      <w:r>
        <w:rPr>
          <w:sz w:val="24"/>
        </w:rPr>
        <w:t xml:space="preserve"> e</w:t>
      </w:r>
      <w:r w:rsidRPr="00F82009">
        <w:rPr>
          <w:sz w:val="24"/>
        </w:rPr>
        <w:t xml:space="preserve">n </w:t>
      </w:r>
      <w:r>
        <w:rPr>
          <w:sz w:val="24"/>
        </w:rPr>
        <w:t xml:space="preserve">is </w:t>
      </w:r>
      <w:r w:rsidRPr="00F82009">
        <w:rPr>
          <w:sz w:val="24"/>
        </w:rPr>
        <w:t xml:space="preserve">bedoeld voor medewerkers die bij de (technische) implementatie van Edukoppeling betrokken zijn. Het gaat hierom werknemers (ontwikkelaars, architecten, projectmanagers, informatiemanagers etc.) werkzaam </w:t>
      </w:r>
      <w:r w:rsidR="00416A8A">
        <w:rPr>
          <w:sz w:val="24"/>
        </w:rPr>
        <w:t>bij onderwijsgerelateerde organisaties</w:t>
      </w:r>
      <w:r w:rsidRPr="00F82009">
        <w:rPr>
          <w:sz w:val="24"/>
        </w:rPr>
        <w:t xml:space="preserve">. </w:t>
      </w:r>
    </w:p>
    <w:p w14:paraId="035C3FC7" w14:textId="77777777" w:rsidR="000E400A" w:rsidRDefault="000E400A" w:rsidP="000E400A">
      <w:r w:rsidRPr="00F82009">
        <w:rPr>
          <w:sz w:val="24"/>
        </w:rPr>
        <w:t>De lezer van dit document willen wij vragen om zaken die ontbreken of onduidelijk zijn te melden bij de beheerder van Edukoppeling</w:t>
      </w:r>
      <w:r>
        <w:t xml:space="preserve"> (</w:t>
      </w:r>
      <w:hyperlink r:id="rId12" w:history="1">
        <w:r w:rsidR="00F65849" w:rsidRPr="00F65849">
          <w:rPr>
            <w:rStyle w:val="Hyperlink"/>
            <w:sz w:val="20"/>
          </w:rPr>
          <w:t>https://www.edustandaard.nl/standaarden/afspraken/afspraak/edukoppeling/</w:t>
        </w:r>
      </w:hyperlink>
      <w:r>
        <w:t>)</w:t>
      </w:r>
      <w:r w:rsidRPr="004D5FFA">
        <w:t>.</w:t>
      </w:r>
    </w:p>
    <w:p w14:paraId="050755AA" w14:textId="77777777" w:rsidR="00094910" w:rsidRDefault="00094910" w:rsidP="000E400A"/>
    <w:p w14:paraId="056E2038" w14:textId="77777777" w:rsidR="00094910" w:rsidRDefault="00094910" w:rsidP="000E400A"/>
    <w:p w14:paraId="6CD6C66E" w14:textId="480348D3" w:rsidR="0004144E" w:rsidRDefault="00C07C0D" w:rsidP="0004144E">
      <w:pPr>
        <w:pStyle w:val="Kop2"/>
        <w:numPr>
          <w:ilvl w:val="1"/>
          <w:numId w:val="13"/>
        </w:numPr>
        <w:spacing w:before="200" w:after="200" w:line="260" w:lineRule="atLeast"/>
        <w:ind w:left="576" w:hanging="576"/>
      </w:pPr>
      <w:bookmarkStart w:id="4" w:name="_Toc504132230"/>
      <w:r>
        <w:t>Kernbegrippen</w:t>
      </w:r>
      <w:bookmarkEnd w:id="4"/>
    </w:p>
    <w:p w14:paraId="6F8DCA35" w14:textId="11977AEE" w:rsidR="00C07C0D" w:rsidRDefault="00C07C0D">
      <w:r>
        <w:t>-identificatie</w:t>
      </w:r>
    </w:p>
    <w:p w14:paraId="7B53C224" w14:textId="6A2D1D4C" w:rsidR="00C07C0D" w:rsidRDefault="00C07C0D">
      <w:r>
        <w:t>Identificatie is het kenbaar maken van de identiteit van een subject</w:t>
      </w:r>
      <w:r w:rsidR="00B53A4D">
        <w:t xml:space="preserve"> </w:t>
      </w:r>
      <w:r>
        <w:t xml:space="preserve">(een persoon/gebruiker of een proces/systeem). </w:t>
      </w:r>
      <w:r w:rsidR="00B53A4D">
        <w:t xml:space="preserve"> De identiteit op Edukoppeling is uniek en valideerbaar. </w:t>
      </w:r>
      <w:r>
        <w:t>De identiteit wordt gebruikt om de autorisatie (zie verder) - de toegang tot een service - te beheersen</w:t>
      </w:r>
      <w:r w:rsidR="00B53A4D">
        <w:t xml:space="preserve">. </w:t>
      </w:r>
    </w:p>
    <w:p w14:paraId="2E374013" w14:textId="693E2CF7" w:rsidR="00C07C0D" w:rsidRDefault="00C07C0D" w:rsidP="00C07C0D">
      <w:r>
        <w:t>-authenticatie</w:t>
      </w:r>
    </w:p>
    <w:p w14:paraId="441878E0" w14:textId="11BF71B1" w:rsidR="00C07C0D" w:rsidRDefault="00C07C0D">
      <w:r>
        <w:t xml:space="preserve">Authenticatie is het proces waarbij nagegaan wordt of een subject daadwerkelijk is wie hij beweert te zijn, dat wil zeggen: daadwerkelijk de identiteit bezit die hij opgeeft. Bij de authenticatie wordt bijv. gecontroleerd of een opgegeven bewijs van identiteit overeenkomt met echtheidskenmerken. Het proces van authenticatie is dus onlosmakelijk verbonden met identiteit. Authenticatie levert als het ware de kwaliteit van de identificatie. Tevens speelt hier een 'chain of trust'. Als het 'root' certificaat </w:t>
      </w:r>
      <w:r w:rsidR="00B53A4D">
        <w:t xml:space="preserve">van een PKI-certificaat </w:t>
      </w:r>
      <w:r>
        <w:t>te vertrouwen is (en het certificaat is niet ingetrokken of verlopen) dan mag men op de inhoud vertrouwen.</w:t>
      </w:r>
    </w:p>
    <w:p w14:paraId="2E138EC2" w14:textId="6DAF4609" w:rsidR="00C07C0D" w:rsidRDefault="00B53A4D">
      <w:r>
        <w:t>-autorisatie</w:t>
      </w:r>
    </w:p>
    <w:p w14:paraId="0FAC6347" w14:textId="01DE445C" w:rsidR="00B53A4D" w:rsidRDefault="00C07C0D">
      <w:r>
        <w:t>Autorisatie is het proces waarin een subject rechten krijgt op het benaderen van een service. De autorisatie wordt toegekend door de service-eigenaar. Het leidende principe (met name bij persoonsgegevens) is doelbinding: je mag alleen zien wat je voor je taak nodig hebt.</w:t>
      </w:r>
      <w:r w:rsidR="00B53A4D">
        <w:t xml:space="preserve">  Bij een collectieve informatievoorziening als deze geldt bovendien: je mag alleen je eigen dingen zien en niet de dingen van je collega-organisatie.  </w:t>
      </w:r>
      <w:r>
        <w:t xml:space="preserve"> De primaire reden voor het vaststellen van de identiteit van een subject is om op basis daarvan vervolgens vast te stellen of dat subject ook gerechtigd is om de gewenste service af te nemen. Die autorisatie (al of niet mede op basis van rollen, machtigingen, vertegenwoordigingen enzovoort) is nadrukkelijk een op de authenticatie volgende, aparte stap. De geauthenticeerde identiteit is dus nodig om autorisatie te kunnen doen. Autorisatie stelt eisen aan authenticatie. </w:t>
      </w:r>
    </w:p>
    <w:p w14:paraId="31C70A94" w14:textId="3DF2A6D9" w:rsidR="00B53A4D" w:rsidRDefault="00B53A4D" w:rsidP="00B53A4D">
      <w:r>
        <w:t>-routering</w:t>
      </w:r>
    </w:p>
    <w:p w14:paraId="7006B990" w14:textId="45AE2A48" w:rsidR="00B53A4D" w:rsidRDefault="008D24CC">
      <w:r>
        <w:t xml:space="preserve">Routering is kunnen bepalen van het (internet)adres waar een service aangeroepen kan worden. De inrichting van zo’n internetservice wordt in eerste instantie bepaald door de service-eigenaar, maar die dit in de regel uitbesteed aan ander, die in dit geval ook het inrichten van de applicatie in de cloud voor zijn rekening neemt.  Dit komt precies, want ook hierbij geldt, het is niet de bedoeling dat privacygevoelige data op een verkeerde locatie wordt bezorgd. Vandaar dat </w:t>
      </w:r>
      <w:r w:rsidR="00081FCA">
        <w:t>de verantwoordelijke én de bewerker allebei een aandeel hebben in de goede werking van de routering. Als de relatie tussen die twee wordt verbroken,  heeft dat per direct gevolgen voor het routeren van het berichtenverkeer.</w:t>
      </w:r>
    </w:p>
    <w:p w14:paraId="2EF7AF71" w14:textId="77777777" w:rsidR="00081FCA" w:rsidRDefault="00081FCA">
      <w:pPr>
        <w:rPr>
          <w:rFonts w:asciiTheme="majorHAnsi" w:eastAsiaTheme="majorEastAsia" w:hAnsiTheme="majorHAnsi" w:cstheme="majorBidi"/>
          <w:color w:val="2E74B5" w:themeColor="accent1" w:themeShade="BF"/>
          <w:sz w:val="32"/>
          <w:szCs w:val="32"/>
        </w:rPr>
      </w:pPr>
      <w:r>
        <w:br w:type="page"/>
      </w:r>
    </w:p>
    <w:p w14:paraId="0F719384" w14:textId="626A9C36" w:rsidR="00094910" w:rsidRDefault="004B382E" w:rsidP="00CF6A85">
      <w:pPr>
        <w:pStyle w:val="Kop1"/>
        <w:numPr>
          <w:ilvl w:val="0"/>
          <w:numId w:val="0"/>
        </w:numPr>
      </w:pPr>
      <w:bookmarkStart w:id="5" w:name="_Toc504132231"/>
      <w:r>
        <w:lastRenderedPageBreak/>
        <w:t>2.</w:t>
      </w:r>
      <w:r w:rsidR="00094910">
        <w:t xml:space="preserve"> Overzicht </w:t>
      </w:r>
      <w:r w:rsidR="00865042">
        <w:t>SAAS</w:t>
      </w:r>
      <w:r w:rsidR="00E57097">
        <w:t>-model</w:t>
      </w:r>
      <w:bookmarkEnd w:id="5"/>
    </w:p>
    <w:p w14:paraId="1334DA1D" w14:textId="26F756F9" w:rsidR="004B77E8" w:rsidRDefault="00094910" w:rsidP="00094910">
      <w:r>
        <w:t xml:space="preserve">In </w:t>
      </w:r>
      <w:r w:rsidR="001F6B60">
        <w:fldChar w:fldCharType="begin"/>
      </w:r>
      <w:r w:rsidR="001F6B60">
        <w:instrText xml:space="preserve"> REF _Ref482692777 \h </w:instrText>
      </w:r>
      <w:r w:rsidR="001F6B60">
        <w:fldChar w:fldCharType="separate"/>
      </w:r>
      <w:r w:rsidR="001F6B60">
        <w:t xml:space="preserve">Figuur </w:t>
      </w:r>
      <w:r w:rsidR="001F6B60">
        <w:rPr>
          <w:noProof/>
        </w:rPr>
        <w:t>1</w:t>
      </w:r>
      <w:r w:rsidR="001F6B60">
        <w:fldChar w:fldCharType="end"/>
      </w:r>
      <w:r>
        <w:t xml:space="preserve">  is schematisch een beeld geschetst van ketensamenwerking</w:t>
      </w:r>
      <w:r w:rsidR="009A5145">
        <w:t>. De school</w:t>
      </w:r>
      <w:r w:rsidR="00BB1421">
        <w:rPr>
          <w:rStyle w:val="Voetnootmarkering"/>
        </w:rPr>
        <w:footnoteReference w:id="1"/>
      </w:r>
      <w:r w:rsidR="009A5145">
        <w:t xml:space="preserve"> is vertegenwoordig</w:t>
      </w:r>
      <w:r w:rsidR="00BB1421">
        <w:t>d</w:t>
      </w:r>
      <w:r w:rsidR="009A5145">
        <w:t xml:space="preserve"> in deze figuur als de organisatie die mensen in dienst  heeft  (de</w:t>
      </w:r>
      <w:r w:rsidR="004B77E8">
        <w:t xml:space="preserve"> medewerker</w:t>
      </w:r>
      <w:r w:rsidR="009A5145">
        <w:t>)</w:t>
      </w:r>
      <w:r w:rsidR="004B77E8">
        <w:t xml:space="preserve">. Deze medewerker </w:t>
      </w:r>
      <w:r w:rsidR="00927F91">
        <w:t>heeft bijvoorbeeld toegang tot een ad</w:t>
      </w:r>
      <w:r w:rsidR="00710A29">
        <w:t xml:space="preserve">ministratiesysteem in de cloud en tot </w:t>
      </w:r>
      <w:r w:rsidR="00BB1421">
        <w:t>bekostigingsgerelateerde informatie van DUO.</w:t>
      </w:r>
    </w:p>
    <w:p w14:paraId="6DA055FC" w14:textId="77777777" w:rsidR="001F6B60" w:rsidRDefault="00927F91" w:rsidP="007D52D4">
      <w:pPr>
        <w:keepNext/>
      </w:pPr>
      <w:r>
        <w:rPr>
          <w:noProof/>
          <w:lang w:eastAsia="nl-NL"/>
        </w:rPr>
        <w:drawing>
          <wp:inline distT="0" distB="0" distL="0" distR="0" wp14:anchorId="59DEE1ED" wp14:editId="568E3503">
            <wp:extent cx="5760720" cy="3364809"/>
            <wp:effectExtent l="0" t="0" r="0" b="762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364809"/>
                    </a:xfrm>
                    <a:prstGeom prst="rect">
                      <a:avLst/>
                    </a:prstGeom>
                  </pic:spPr>
                </pic:pic>
              </a:graphicData>
            </a:graphic>
          </wp:inline>
        </w:drawing>
      </w:r>
    </w:p>
    <w:p w14:paraId="3B0FA161" w14:textId="77777777" w:rsidR="00094910" w:rsidRDefault="001F6B60" w:rsidP="007D52D4">
      <w:pPr>
        <w:pStyle w:val="Bijschrift"/>
      </w:pPr>
      <w:bookmarkStart w:id="6" w:name="_Ref482692777"/>
      <w:r>
        <w:t xml:space="preserve">Figuur </w:t>
      </w:r>
      <w:fldSimple w:instr=" SEQ Figuur \* ARABIC ">
        <w:r w:rsidR="00870BAD">
          <w:rPr>
            <w:noProof/>
          </w:rPr>
          <w:t>1</w:t>
        </w:r>
      </w:fldSimple>
      <w:bookmarkEnd w:id="6"/>
      <w:r>
        <w:t xml:space="preserve"> - Schematische weergave ketensamenwerking</w:t>
      </w:r>
    </w:p>
    <w:p w14:paraId="61AED164" w14:textId="77777777" w:rsidR="00094910" w:rsidRDefault="00240B3B" w:rsidP="00094910">
      <w:r>
        <w:t>In de Edukoppeling architectuur zijn de elementen beschreven waaruit deze samenwerking bestaat. Een korte samenvatting:</w:t>
      </w:r>
    </w:p>
    <w:p w14:paraId="0AA3CA4A" w14:textId="77777777" w:rsidR="00240B3B" w:rsidRDefault="00240B3B" w:rsidP="00BB1421">
      <w:pPr>
        <w:pStyle w:val="Lijstalinea"/>
        <w:numPr>
          <w:ilvl w:val="0"/>
          <w:numId w:val="16"/>
        </w:numPr>
      </w:pPr>
      <w:r>
        <w:t xml:space="preserve">In de front-office logt de medewerker </w:t>
      </w:r>
      <w:r w:rsidR="00BC2C84">
        <w:t xml:space="preserve">van de </w:t>
      </w:r>
      <w:r w:rsidR="00BB1421">
        <w:t xml:space="preserve">school </w:t>
      </w:r>
      <w:r w:rsidR="00F65849">
        <w:t xml:space="preserve">bij voorkeur </w:t>
      </w:r>
      <w:r>
        <w:t xml:space="preserve">in met een </w:t>
      </w:r>
      <w:r w:rsidR="00416A8A">
        <w:t xml:space="preserve">federatieve sleutel </w:t>
      </w:r>
      <w:r w:rsidR="005E4275">
        <w:t>met</w:t>
      </w:r>
      <w:r w:rsidR="005E0036">
        <w:t xml:space="preserve"> </w:t>
      </w:r>
      <w:r w:rsidR="005E4275">
        <w:t xml:space="preserve">een </w:t>
      </w:r>
      <w:r w:rsidR="00865042">
        <w:t>substantieel</w:t>
      </w:r>
      <w:r w:rsidR="005E4275">
        <w:t xml:space="preserve"> beveiligingsniveau (zoals een two-factor middel</w:t>
      </w:r>
      <w:r w:rsidR="00011DF5">
        <w:t xml:space="preserve">).  De authenticatiefederatie is een </w:t>
      </w:r>
      <w:r w:rsidR="00873744">
        <w:t xml:space="preserve">vertrouwde derde </w:t>
      </w:r>
      <w:r w:rsidR="00011DF5">
        <w:t xml:space="preserve">partij die de </w:t>
      </w:r>
      <w:r w:rsidR="00011DF5" w:rsidRPr="004B2B12">
        <w:rPr>
          <w:i/>
        </w:rPr>
        <w:t>relati</w:t>
      </w:r>
      <w:r w:rsidR="00E9554A">
        <w:rPr>
          <w:i/>
        </w:rPr>
        <w:t>e</w:t>
      </w:r>
      <w:r w:rsidR="00011DF5">
        <w:t xml:space="preserve"> tussen med</w:t>
      </w:r>
      <w:r w:rsidR="005E4275">
        <w:t>ewerker en school kan valideren.</w:t>
      </w:r>
    </w:p>
    <w:p w14:paraId="48942E02" w14:textId="77777777" w:rsidR="00AA7874" w:rsidRDefault="009274E5" w:rsidP="00240B3B">
      <w:pPr>
        <w:pStyle w:val="Lijstalinea"/>
        <w:numPr>
          <w:ilvl w:val="0"/>
          <w:numId w:val="16"/>
        </w:numPr>
      </w:pPr>
      <w:r>
        <w:t>In de backoffice worden gegevens uitgewisseld</w:t>
      </w:r>
      <w:r w:rsidR="005E4275">
        <w:t xml:space="preserve"> conform de Edukoppeling standaard</w:t>
      </w:r>
      <w:r w:rsidR="00BC2C84">
        <w:t xml:space="preserve">. </w:t>
      </w:r>
      <w:r w:rsidR="00F65849">
        <w:t xml:space="preserve">De </w:t>
      </w:r>
      <w:r w:rsidR="00865042">
        <w:t>SaaS</w:t>
      </w:r>
      <w:r w:rsidR="00F65849">
        <w:t>-leverancier is</w:t>
      </w:r>
      <w:r w:rsidR="00BC2C84">
        <w:t xml:space="preserve"> de partij die de u</w:t>
      </w:r>
      <w:r w:rsidR="005E4275">
        <w:t xml:space="preserve">itwisseling feitelijk uitvoert </w:t>
      </w:r>
      <w:r w:rsidR="005E0036">
        <w:t>in opdracht van de eindorganisatie (bijv. een school)</w:t>
      </w:r>
      <w:r w:rsidR="005E4275">
        <w:t>.</w:t>
      </w:r>
      <w:r w:rsidR="00AA7874">
        <w:t xml:space="preserve"> De </w:t>
      </w:r>
      <w:r w:rsidR="00865042">
        <w:t>SaaS</w:t>
      </w:r>
      <w:r w:rsidR="00AA7874">
        <w:t>-leverancier beveiligt het verkeer (tweezijdig TLS) met een PKI-certificaat met eigen identificatie.</w:t>
      </w:r>
    </w:p>
    <w:p w14:paraId="77B5D43F" w14:textId="77777777" w:rsidR="00AA7874" w:rsidRDefault="00AA7874">
      <w:r>
        <w:br w:type="page"/>
      </w:r>
    </w:p>
    <w:p w14:paraId="159C66B5" w14:textId="77777777" w:rsidR="00F65849" w:rsidRDefault="00F65849" w:rsidP="00AA7874">
      <w:pPr>
        <w:pStyle w:val="Lijstalinea"/>
        <w:ind w:left="1068"/>
      </w:pPr>
    </w:p>
    <w:p w14:paraId="2C1CDDEF" w14:textId="77777777" w:rsidR="007B774A" w:rsidRDefault="00E33C7A" w:rsidP="00240B3B">
      <w:pPr>
        <w:pStyle w:val="Lijstalinea"/>
        <w:numPr>
          <w:ilvl w:val="0"/>
          <w:numId w:val="16"/>
        </w:numPr>
      </w:pPr>
      <w:r>
        <w:t>In een collectief serviceregiste</w:t>
      </w:r>
      <w:r w:rsidR="004B2B12">
        <w:t xml:space="preserve">r wordt bijgehouden (dat doet een </w:t>
      </w:r>
      <w:r>
        <w:t xml:space="preserve"> medewerker</w:t>
      </w:r>
      <w:r w:rsidR="004B2B12">
        <w:t xml:space="preserve"> van de school</w:t>
      </w:r>
      <w:r>
        <w:t xml:space="preserve">) </w:t>
      </w:r>
      <w:r w:rsidR="007B774A">
        <w:t>of een</w:t>
      </w:r>
      <w:r w:rsidR="002F6951">
        <w:t xml:space="preserve"> organisatie</w:t>
      </w:r>
      <w:r w:rsidR="007B774A">
        <w:t xml:space="preserve"> is </w:t>
      </w:r>
      <w:r w:rsidR="007B774A" w:rsidRPr="004B2B12">
        <w:rPr>
          <w:i/>
        </w:rPr>
        <w:t xml:space="preserve">gemandateerd </w:t>
      </w:r>
      <w:r w:rsidR="004B2B12">
        <w:rPr>
          <w:i/>
        </w:rPr>
        <w:t xml:space="preserve"> </w:t>
      </w:r>
      <w:r w:rsidR="002F6951" w:rsidRPr="002F6951">
        <w:t xml:space="preserve">als bewerker van de </w:t>
      </w:r>
      <w:r w:rsidR="002F6951">
        <w:t xml:space="preserve">uitgewisselde </w:t>
      </w:r>
      <w:r w:rsidR="002F6951" w:rsidRPr="002F6951">
        <w:t>gegevens</w:t>
      </w:r>
      <w:r w:rsidR="007B774A">
        <w:t xml:space="preserve">. Deze </w:t>
      </w:r>
      <w:r w:rsidR="002F6951">
        <w:t xml:space="preserve">regelt het </w:t>
      </w:r>
      <w:r w:rsidR="007B774A">
        <w:t>bijbehorende service</w:t>
      </w:r>
      <w:r w:rsidR="002F6951">
        <w:t>verkeer</w:t>
      </w:r>
      <w:r w:rsidR="007B774A">
        <w:t xml:space="preserve"> namens de school. </w:t>
      </w:r>
    </w:p>
    <w:p w14:paraId="6A7AEBCB" w14:textId="77777777" w:rsidR="005E4275" w:rsidRDefault="006F34D9" w:rsidP="005E4275">
      <w:pPr>
        <w:pStyle w:val="Lijstalinea"/>
        <w:numPr>
          <w:ilvl w:val="0"/>
          <w:numId w:val="16"/>
        </w:numPr>
      </w:pPr>
      <w:r>
        <w:t xml:space="preserve">Voor de beoordeling van de correcte werking van (cloud)systemen zijn normen beschikbaar. </w:t>
      </w:r>
      <w:r w:rsidR="002F6951">
        <w:t xml:space="preserve">Dit is toegesneden op het uitwisselen met </w:t>
      </w:r>
      <w:r>
        <w:t>Edukoppeling</w:t>
      </w:r>
      <w:r w:rsidR="002F6951">
        <w:t>.</w:t>
      </w:r>
      <w:r>
        <w:t xml:space="preserve"> </w:t>
      </w:r>
    </w:p>
    <w:p w14:paraId="08B4C003" w14:textId="77777777" w:rsidR="006F34D9" w:rsidRDefault="00BC2C84" w:rsidP="00094910">
      <w:r>
        <w:t xml:space="preserve">In de volgende paragraaf wordt ingegaan op de identificatie van de </w:t>
      </w:r>
      <w:r w:rsidR="00295FD5">
        <w:t xml:space="preserve">eindorganisatie </w:t>
      </w:r>
      <w:r w:rsidR="006F34D9">
        <w:t xml:space="preserve">(de functionele verzender/ontvanger). </w:t>
      </w:r>
    </w:p>
    <w:p w14:paraId="1E4ED41E" w14:textId="260C6D18" w:rsidR="006F34D9" w:rsidRDefault="006F34D9">
      <w:pPr>
        <w:rPr>
          <w:rFonts w:asciiTheme="majorHAnsi" w:eastAsiaTheme="majorEastAsia" w:hAnsiTheme="majorHAnsi" w:cstheme="majorBidi"/>
          <w:color w:val="2E74B5" w:themeColor="accent1" w:themeShade="BF"/>
          <w:sz w:val="32"/>
          <w:szCs w:val="32"/>
        </w:rPr>
      </w:pPr>
    </w:p>
    <w:p w14:paraId="45C1EC33" w14:textId="77777777" w:rsidR="00723CED" w:rsidRDefault="00723CED">
      <w:pPr>
        <w:rPr>
          <w:rFonts w:asciiTheme="majorHAnsi" w:eastAsiaTheme="majorEastAsia" w:hAnsiTheme="majorHAnsi" w:cstheme="majorBidi"/>
          <w:color w:val="2E74B5" w:themeColor="accent1" w:themeShade="BF"/>
          <w:sz w:val="32"/>
          <w:szCs w:val="32"/>
        </w:rPr>
      </w:pPr>
    </w:p>
    <w:p w14:paraId="6BC1E8A1" w14:textId="7904FA71" w:rsidR="004B382E" w:rsidRPr="004B382E" w:rsidRDefault="00A42C44" w:rsidP="00CF6A85">
      <w:pPr>
        <w:pStyle w:val="Kop1"/>
        <w:numPr>
          <w:ilvl w:val="0"/>
          <w:numId w:val="18"/>
        </w:numPr>
      </w:pPr>
      <w:bookmarkStart w:id="7" w:name="_Toc504132232"/>
      <w:r>
        <w:t>Logistieke identiteit</w:t>
      </w:r>
      <w:bookmarkEnd w:id="7"/>
    </w:p>
    <w:p w14:paraId="09064CBF" w14:textId="173FD24F" w:rsidR="00E0335E" w:rsidRDefault="00E0335E" w:rsidP="00094910">
      <w:r>
        <w:t>In dit hoofdstuk wordt be</w:t>
      </w:r>
      <w:r w:rsidR="00A42C44">
        <w:t xml:space="preserve">handeld </w:t>
      </w:r>
      <w:r w:rsidR="00094417">
        <w:t xml:space="preserve">met </w:t>
      </w:r>
      <w:r w:rsidR="00A42C44">
        <w:t xml:space="preserve">identiteiten </w:t>
      </w:r>
      <w:r w:rsidR="00FF591C">
        <w:t>binnen Edukoppeling</w:t>
      </w:r>
      <w:r>
        <w:t xml:space="preserve"> </w:t>
      </w:r>
      <w:r w:rsidR="00094417">
        <w:t>wordt omgegaan:</w:t>
      </w:r>
    </w:p>
    <w:p w14:paraId="51BAF05C" w14:textId="77777777" w:rsidR="00FF591C" w:rsidRDefault="00FF591C"/>
    <w:p w14:paraId="0BA3E360" w14:textId="77777777" w:rsidR="0078076E" w:rsidRDefault="0078076E" w:rsidP="004B382E">
      <w:pPr>
        <w:pStyle w:val="Kop2"/>
      </w:pPr>
      <w:bookmarkStart w:id="8" w:name="_Toc504132233"/>
      <w:r>
        <w:t xml:space="preserve">3.1   </w:t>
      </w:r>
      <w:r w:rsidR="00081222">
        <w:t>Header vs body</w:t>
      </w:r>
      <w:bookmarkEnd w:id="8"/>
    </w:p>
    <w:p w14:paraId="29568735" w14:textId="04EE250F" w:rsidR="008209B3" w:rsidRDefault="008209B3" w:rsidP="00094910">
      <w:r>
        <w:t>Edukoppeling is gebaseerd op SOAP. Een bericht bestaat daarin uit  2 onderdelen</w:t>
      </w:r>
      <w:r w:rsidR="003F68CC">
        <w:t>,</w:t>
      </w:r>
      <w:r>
        <w:t xml:space="preserve"> een header en een body.</w:t>
      </w:r>
    </w:p>
    <w:p w14:paraId="778DD1F8" w14:textId="77777777" w:rsidR="008209B3" w:rsidRDefault="008209B3" w:rsidP="00094910">
      <w:r>
        <w:rPr>
          <w:noProof/>
          <w:lang w:eastAsia="nl-NL"/>
        </w:rPr>
        <w:drawing>
          <wp:inline distT="0" distB="0" distL="0" distR="0" wp14:anchorId="28948DDB" wp14:editId="6612D543">
            <wp:extent cx="3683577" cy="2392374"/>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7231" cy="2394747"/>
                    </a:xfrm>
                    <a:prstGeom prst="rect">
                      <a:avLst/>
                    </a:prstGeom>
                    <a:noFill/>
                  </pic:spPr>
                </pic:pic>
              </a:graphicData>
            </a:graphic>
          </wp:inline>
        </w:drawing>
      </w:r>
    </w:p>
    <w:p w14:paraId="16BD0F82" w14:textId="77777777" w:rsidR="00C31775" w:rsidRDefault="00C31775" w:rsidP="00C31775">
      <w:pPr>
        <w:pStyle w:val="Bijschrift"/>
      </w:pPr>
      <w:r>
        <w:t>Figuur 2 -  SOAP -onderdelen</w:t>
      </w:r>
    </w:p>
    <w:p w14:paraId="6E089DCE" w14:textId="77777777" w:rsidR="003F68CC" w:rsidRDefault="003F68CC" w:rsidP="003F68CC"/>
    <w:tbl>
      <w:tblPr>
        <w:tblStyle w:val="Tabelraster"/>
        <w:tblW w:w="0" w:type="auto"/>
        <w:tblLook w:val="04A0" w:firstRow="1" w:lastRow="0" w:firstColumn="1" w:lastColumn="0" w:noHBand="0" w:noVBand="1"/>
      </w:tblPr>
      <w:tblGrid>
        <w:gridCol w:w="9062"/>
      </w:tblGrid>
      <w:tr w:rsidR="00A4706B" w14:paraId="62D0D33E" w14:textId="77777777" w:rsidTr="00A4706B">
        <w:tc>
          <w:tcPr>
            <w:tcW w:w="9062" w:type="dxa"/>
          </w:tcPr>
          <w:p w14:paraId="5B9ACEC9" w14:textId="77777777" w:rsidR="00A4706B" w:rsidRDefault="00A4706B" w:rsidP="003F68CC">
            <w:r>
              <w:t>Principe 1.  Functie en logistiek zijn gescheiden in respectievelijk body en header.</w:t>
            </w:r>
          </w:p>
          <w:p w14:paraId="5CFBE509" w14:textId="77777777" w:rsidR="00081222" w:rsidRDefault="00081222" w:rsidP="003F68CC"/>
          <w:p w14:paraId="468E7950" w14:textId="77777777" w:rsidR="00081222" w:rsidRDefault="00081222" w:rsidP="003F68CC">
            <w:r>
              <w:t>(of anders gezegd:  Edukoppeling heeft geen boodschap aan de boodschap)</w:t>
            </w:r>
          </w:p>
        </w:tc>
      </w:tr>
    </w:tbl>
    <w:p w14:paraId="62946A1B" w14:textId="77777777" w:rsidR="00094417" w:rsidRDefault="00094417" w:rsidP="003F68CC"/>
    <w:p w14:paraId="469A8271" w14:textId="03093532" w:rsidR="00094417" w:rsidRDefault="00094417" w:rsidP="003F68CC">
      <w:r>
        <w:t>Een SAAS-leverancier kan diensten leveren aan meerdere scholen tegelijkertijd. Om die reden is in de Edukoppeling standaard afgesproken dat h</w:t>
      </w:r>
      <w:r w:rsidR="007B1807">
        <w:t xml:space="preserve">et zogenaamde Organisatie Identificerende Nummer (OIN) </w:t>
      </w:r>
      <w:r>
        <w:t xml:space="preserve">van de verzender en ontvanger van de school is opgenomen.  Op basis hiervan kan de SAAS-leverancier  achter de voordeur routeren. </w:t>
      </w:r>
    </w:p>
    <w:p w14:paraId="6D9BB987" w14:textId="2B600E79" w:rsidR="00D34F59" w:rsidRDefault="003B554C" w:rsidP="003F68CC">
      <w:r>
        <w:lastRenderedPageBreak/>
        <w:t>Functionele</w:t>
      </w:r>
      <w:r w:rsidR="00F4349A">
        <w:t xml:space="preserve"> aspecten waar de</w:t>
      </w:r>
      <w:r w:rsidR="003F68CC">
        <w:t xml:space="preserve"> verwerkende applicatie </w:t>
      </w:r>
      <w:r w:rsidR="00F4349A">
        <w:t xml:space="preserve">iets mee moet, zitten </w:t>
      </w:r>
      <w:r>
        <w:t xml:space="preserve">per definitie </w:t>
      </w:r>
      <w:r w:rsidR="00F4349A">
        <w:t>in de body</w:t>
      </w:r>
      <w:r w:rsidR="003F68CC">
        <w:t xml:space="preserve"> van het bericht.  Bijvoorbeeld</w:t>
      </w:r>
      <w:r w:rsidR="00D94190">
        <w:t>:</w:t>
      </w:r>
      <w:r w:rsidR="003F68CC">
        <w:t xml:space="preserve"> </w:t>
      </w:r>
      <w:r w:rsidR="00D478FC">
        <w:t xml:space="preserve">als je leerlingen wilt kunnen tellen per </w:t>
      </w:r>
      <w:r w:rsidR="00F46DF8">
        <w:t xml:space="preserve">school </w:t>
      </w:r>
      <w:r w:rsidR="000465E8">
        <w:t>(zie verderop)</w:t>
      </w:r>
      <w:r w:rsidR="00D478FC">
        <w:t xml:space="preserve">, dan </w:t>
      </w:r>
      <w:r w:rsidR="00D34F59">
        <w:t xml:space="preserve">wordt daarover </w:t>
      </w:r>
      <w:r w:rsidR="00D478FC">
        <w:t>in de body</w:t>
      </w:r>
      <w:r w:rsidR="00D34F59">
        <w:t xml:space="preserve"> gecommuniceerd</w:t>
      </w:r>
    </w:p>
    <w:p w14:paraId="4A6D2191" w14:textId="2B91868F" w:rsidR="000465E8" w:rsidRDefault="00D34F59">
      <w:r>
        <w:t xml:space="preserve">Door deze strikte scheiding </w:t>
      </w:r>
      <w:r w:rsidR="00236509">
        <w:t xml:space="preserve">kan een ketenpartner “gelaagd” werken: een applicatie </w:t>
      </w:r>
      <w:r w:rsidR="00056F38">
        <w:t xml:space="preserve">werkt met body (payload) en een gateway </w:t>
      </w:r>
      <w:r w:rsidR="004E6167">
        <w:t xml:space="preserve">werkt </w:t>
      </w:r>
      <w:r w:rsidR="00056F38">
        <w:t>met de header</w:t>
      </w:r>
      <w:r w:rsidR="004E6167">
        <w:t xml:space="preserve"> (adressering)</w:t>
      </w:r>
      <w:r w:rsidR="00056F38">
        <w:t>.</w:t>
      </w:r>
      <w:r w:rsidR="004E6167">
        <w:t xml:space="preserve"> </w:t>
      </w:r>
      <w:r w:rsidR="00DC1513">
        <w:t xml:space="preserve">Dat is relevant als een organisatie een complex applicatielandschap heeft. De scheiding in lagen is in het </w:t>
      </w:r>
      <w:r w:rsidR="004E6167">
        <w:t xml:space="preserve">geval van DUO bijvoorbeeld </w:t>
      </w:r>
      <w:r w:rsidR="00DC1513">
        <w:t xml:space="preserve">oo scheiding in beveiligingszones. </w:t>
      </w:r>
    </w:p>
    <w:p w14:paraId="25B30E26" w14:textId="77777777" w:rsidR="002E0B43" w:rsidRDefault="002E0B43" w:rsidP="002E0B43">
      <w:pPr>
        <w:pStyle w:val="Kop2"/>
      </w:pPr>
    </w:p>
    <w:p w14:paraId="25B5E1DD" w14:textId="07D5E2CB" w:rsidR="002E0B43" w:rsidRDefault="002E0B43" w:rsidP="002E0B43">
      <w:pPr>
        <w:pStyle w:val="Kop2"/>
      </w:pPr>
      <w:bookmarkStart w:id="9" w:name="_Toc504132234"/>
      <w:r>
        <w:t xml:space="preserve">3.2   </w:t>
      </w:r>
      <w:r w:rsidR="00F46DF8">
        <w:t>School</w:t>
      </w:r>
      <w:r w:rsidR="00A42C44">
        <w:t xml:space="preserve"> of rechtspersoon</w:t>
      </w:r>
      <w:bookmarkEnd w:id="9"/>
    </w:p>
    <w:p w14:paraId="4DA69BF3" w14:textId="584458BA" w:rsidR="00C10BF6" w:rsidRDefault="00C10BF6" w:rsidP="00C10BF6"/>
    <w:p w14:paraId="510CC078" w14:textId="51FA9B53" w:rsidR="000465E8" w:rsidRDefault="000465E8" w:rsidP="00C10BF6">
      <w:r>
        <w:t>Het OIN is volgens de definities van Digikoppeling</w:t>
      </w:r>
      <w:r w:rsidR="00716CCD">
        <w:t xml:space="preserve"> een identiteit van 20 karakters.  In deze systematiek is ruimte voor BRIN.</w:t>
      </w:r>
      <w:r w:rsidR="00DC1513">
        <w:t xml:space="preserve"> Het volgende schema is ontleend aan Digikoppeling.</w:t>
      </w:r>
    </w:p>
    <w:p w14:paraId="05F81F18" w14:textId="552E1017" w:rsidR="000465E8" w:rsidRDefault="00716CCD" w:rsidP="00C10BF6">
      <w:r>
        <w:rPr>
          <w:noProof/>
        </w:rPr>
        <w:drawing>
          <wp:inline distT="0" distB="0" distL="0" distR="0" wp14:anchorId="632C15D3" wp14:editId="7287EF27">
            <wp:extent cx="5760720" cy="3504565"/>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504565"/>
                    </a:xfrm>
                    <a:prstGeom prst="rect">
                      <a:avLst/>
                    </a:prstGeom>
                  </pic:spPr>
                </pic:pic>
              </a:graphicData>
            </a:graphic>
          </wp:inline>
        </w:drawing>
      </w:r>
    </w:p>
    <w:p w14:paraId="59C47FD1" w14:textId="20DD7CC8" w:rsidR="000465E8" w:rsidRDefault="000465E8" w:rsidP="00C10BF6"/>
    <w:tbl>
      <w:tblPr>
        <w:tblStyle w:val="Tabelraster"/>
        <w:tblW w:w="0" w:type="auto"/>
        <w:tblLook w:val="04A0" w:firstRow="1" w:lastRow="0" w:firstColumn="1" w:lastColumn="0" w:noHBand="0" w:noVBand="1"/>
      </w:tblPr>
      <w:tblGrid>
        <w:gridCol w:w="9062"/>
      </w:tblGrid>
      <w:tr w:rsidR="00716CCD" w14:paraId="484AADEE" w14:textId="77777777" w:rsidTr="000B5CA2">
        <w:tc>
          <w:tcPr>
            <w:tcW w:w="9062" w:type="dxa"/>
          </w:tcPr>
          <w:p w14:paraId="490A7B02" w14:textId="5EDA9AD1" w:rsidR="00716CCD" w:rsidRDefault="00716CCD" w:rsidP="000B5CA2">
            <w:r>
              <w:t>Principe 2.  Het OIN kan worden gevalideerd bij een nationaal of sectoraal register</w:t>
            </w:r>
          </w:p>
          <w:p w14:paraId="321DDE55" w14:textId="77777777" w:rsidR="00716CCD" w:rsidRDefault="00716CCD" w:rsidP="000B5CA2"/>
          <w:p w14:paraId="3EE73E38" w14:textId="0D07469F" w:rsidR="00716CCD" w:rsidRDefault="00716CCD" w:rsidP="000B5CA2">
            <w:r>
              <w:t>(</w:t>
            </w:r>
            <w:r w:rsidR="004B142C">
              <w:t>met als consequentie</w:t>
            </w:r>
            <w:r>
              <w:t xml:space="preserve">:  </w:t>
            </w:r>
            <w:r w:rsidR="004B142C">
              <w:t xml:space="preserve">het OIN biedt rechtszekerheid in het economisch verkeer </w:t>
            </w:r>
            <w:r>
              <w:t>)</w:t>
            </w:r>
          </w:p>
        </w:tc>
      </w:tr>
    </w:tbl>
    <w:p w14:paraId="6C08C4B8" w14:textId="3EF67C2A" w:rsidR="00716CCD" w:rsidRDefault="00716CCD" w:rsidP="00C10BF6"/>
    <w:p w14:paraId="5198EB23" w14:textId="2D2DA105" w:rsidR="00716CCD" w:rsidRDefault="000B5CA2" w:rsidP="00C10BF6">
      <w:r>
        <w:t>Bedrijven, overheidso</w:t>
      </w:r>
      <w:r w:rsidR="00DC1513">
        <w:t>rganisaties en bevoegd gezag</w:t>
      </w:r>
      <w:r>
        <w:t>en</w:t>
      </w:r>
      <w:r w:rsidR="00DC1513">
        <w:t xml:space="preserve"> kunnen op Edukoppeling opereren met een OIN dat is ontleend aan het handelsregister.  In de onderwijspraktijk en -wetgeving </w:t>
      </w:r>
      <w:r>
        <w:t>is het gebruikelijk dat “kleinere eenheden” zelfstandig opereren. Daarvoor kennen we nu het register BRIN dat is gekoppeld aan het NHR.  Volgens bovenstaand schema mag daar ook een OIN op worden gebaseerd.</w:t>
      </w:r>
    </w:p>
    <w:p w14:paraId="697CD94C" w14:textId="0622DF99" w:rsidR="004B142C" w:rsidRDefault="000B5CA2" w:rsidP="00C10BF6">
      <w:r>
        <w:t>Voor OIN’s  wordt centrale toegang geregeld door Logius. Dit heet de Centrale OIN Registratie (COR). Ook OIN’s  uit het onderwijsdomein worden op die manier toegankelijk.</w:t>
      </w:r>
    </w:p>
    <w:p w14:paraId="0BB989C1" w14:textId="065A5F70" w:rsidR="00F14EC1" w:rsidRDefault="00ED2C29" w:rsidP="00C10BF6">
      <w:r>
        <w:lastRenderedPageBreak/>
        <w:t xml:space="preserve">In Doorontwikkelen BRON wordt gewerkt aan </w:t>
      </w:r>
      <w:r w:rsidR="000B5CA2">
        <w:t>een opvolger van BRIN: het Register Instellingen en Opleidingen (</w:t>
      </w:r>
      <w:r>
        <w:t>RIO</w:t>
      </w:r>
      <w:r w:rsidR="000B5CA2">
        <w:t>)</w:t>
      </w:r>
      <w:r>
        <w:t>.</w:t>
      </w:r>
      <w:r w:rsidR="00F14EC1">
        <w:t xml:space="preserve"> In RIO gaan ”scholen” over hun eigen identiteit en indeling</w:t>
      </w:r>
      <w:r w:rsidR="000B5CA2">
        <w:t>. Aangenomen wordt dat de</w:t>
      </w:r>
      <w:r w:rsidR="00F46DF8">
        <w:t xml:space="preserve"> school</w:t>
      </w:r>
      <w:r w:rsidR="000B5CA2">
        <w:t xml:space="preserve"> die worden geregistreerd</w:t>
      </w:r>
      <w:r w:rsidR="00907849">
        <w:t xml:space="preserve"> op eigen gezag uitwisselen met ketenpartners en dat het OIN daarvan wordt afgeleid. Vooralsnog zitten we in </w:t>
      </w:r>
      <w:r w:rsidR="000465E8">
        <w:t>overgangsperiode</w:t>
      </w:r>
      <w:r w:rsidR="00907849">
        <w:t xml:space="preserve"> en maken gebruik van de formele BRIN-structuur.</w:t>
      </w:r>
    </w:p>
    <w:p w14:paraId="4DBEA40F" w14:textId="09ED947D" w:rsidR="00716CCD" w:rsidRDefault="00716CCD" w:rsidP="00907849"/>
    <w:p w14:paraId="7A66313C" w14:textId="77E3799F" w:rsidR="00907849" w:rsidRDefault="00907849" w:rsidP="00907849"/>
    <w:p w14:paraId="6CBDD374" w14:textId="451472B0" w:rsidR="00907849" w:rsidRDefault="00907849" w:rsidP="00907849">
      <w:r>
        <w:t xml:space="preserve">Ook de SAAS-leveranciers hebben in het SAAS-model een OIN gebaseerd op he handelsregister. Dit komt niet terug in de soap-header van het bericht, maar wel in het PKI-certificaat voor het beveiligen van het verkeer én in het serviceregister </w:t>
      </w:r>
      <w:r w:rsidR="00E952E3">
        <w:t xml:space="preserve">voor het valideren van </w:t>
      </w:r>
      <w:r>
        <w:t>de bewerkersrelatie met de school.</w:t>
      </w:r>
    </w:p>
    <w:p w14:paraId="670B4CB1" w14:textId="067B993A" w:rsidR="00907849" w:rsidRDefault="00907849" w:rsidP="00907849"/>
    <w:p w14:paraId="1766542F" w14:textId="6C92A537" w:rsidR="00907849" w:rsidRDefault="00907849" w:rsidP="00907849">
      <w:pPr>
        <w:pStyle w:val="Kop2"/>
      </w:pPr>
      <w:bookmarkStart w:id="10" w:name="_Toc504132235"/>
      <w:r>
        <w:t>3.3   Administraties</w:t>
      </w:r>
      <w:r w:rsidR="00F46DF8">
        <w:rPr>
          <w:rStyle w:val="Voetnootmarkering"/>
        </w:rPr>
        <w:footnoteReference w:id="2"/>
      </w:r>
      <w:bookmarkEnd w:id="10"/>
    </w:p>
    <w:p w14:paraId="4EB1EAEF" w14:textId="640E40CB" w:rsidR="00907849" w:rsidRDefault="00907849" w:rsidP="00907849"/>
    <w:p w14:paraId="11D88C2F" w14:textId="5626E5B2" w:rsidR="00907849" w:rsidRDefault="00E952E3" w:rsidP="00907849">
      <w:r>
        <w:t>Zoals in de inleiding gezegd, veel scholen hebben een administratie in de cloud</w:t>
      </w:r>
      <w:r w:rsidR="003B03C4">
        <w:t>.  In het verleden is wel gewerkt met de aanname dat scholen administraties bij houden per vestiging, maar dat wringt. Scholen hebben hun eigen afwegingen waarom ze één of meer contracten met SAAS-leverancier afsluiten of zelf met verschillende SAAS-leveranciers. Ook samenwerking van scholen kan invloed hebben op de administratieve indeling.</w:t>
      </w:r>
    </w:p>
    <w:p w14:paraId="27C1C349" w14:textId="77777777" w:rsidR="00E952E3" w:rsidRDefault="00E952E3" w:rsidP="00E952E3"/>
    <w:tbl>
      <w:tblPr>
        <w:tblStyle w:val="Tabelraster"/>
        <w:tblW w:w="0" w:type="auto"/>
        <w:tblLook w:val="04A0" w:firstRow="1" w:lastRow="0" w:firstColumn="1" w:lastColumn="0" w:noHBand="0" w:noVBand="1"/>
      </w:tblPr>
      <w:tblGrid>
        <w:gridCol w:w="9062"/>
      </w:tblGrid>
      <w:tr w:rsidR="00E952E3" w14:paraId="24115CFE" w14:textId="77777777" w:rsidTr="003B03C4">
        <w:tc>
          <w:tcPr>
            <w:tcW w:w="9062" w:type="dxa"/>
          </w:tcPr>
          <w:p w14:paraId="4F6D7C92" w14:textId="48DD7BBC" w:rsidR="00E952E3" w:rsidRDefault="00E952E3" w:rsidP="003B03C4">
            <w:r>
              <w:t xml:space="preserve">Principe 3. Een </w:t>
            </w:r>
            <w:r w:rsidR="00F46DF8">
              <w:t xml:space="preserve">school </w:t>
            </w:r>
            <w:r>
              <w:t>bepaalt zijn administratieve indeling zonder restricties</w:t>
            </w:r>
          </w:p>
          <w:p w14:paraId="3650C318" w14:textId="77777777" w:rsidR="00E952E3" w:rsidRDefault="00E952E3" w:rsidP="003B03C4"/>
          <w:p w14:paraId="53594DFA" w14:textId="3E2087C8" w:rsidR="00E952E3" w:rsidRDefault="00E952E3" w:rsidP="003B03C4">
            <w:r>
              <w:t>(ergo: dit kan niet worden gebaseerd op criteria als geografie, onderwijsniveau of leerjaar, wet)</w:t>
            </w:r>
          </w:p>
        </w:tc>
      </w:tr>
    </w:tbl>
    <w:p w14:paraId="492948B3" w14:textId="77777777" w:rsidR="00E952E3" w:rsidRDefault="00E952E3" w:rsidP="00E952E3"/>
    <w:p w14:paraId="3B3DE0DB" w14:textId="5E4B7786" w:rsidR="00907849" w:rsidRDefault="0030622A" w:rsidP="00907849">
      <w:r>
        <w:t xml:space="preserve">Omdat scholen ook samen een administratie kunnen voeren, wordt krijgt dit een eigen identiteit dat onafhankelijk is van de identiteit van deze samenwerkende scholen. Volgens dit principe registreren scholen welke administraties ze voeren.  Deze registratie wordt gebruikt om een OIN op te baseren dat wordt gebruikt in de SOAP-header van Edukoppeling. </w:t>
      </w:r>
    </w:p>
    <w:p w14:paraId="129D8125" w14:textId="42EA865E" w:rsidR="00907849" w:rsidRDefault="0030622A" w:rsidP="00907849">
      <w:r>
        <w:t xml:space="preserve">Dit heeft </w:t>
      </w:r>
      <w:r w:rsidR="002C4221">
        <w:t xml:space="preserve">de volgende </w:t>
      </w:r>
      <w:r>
        <w:t>praktische consequenties:</w:t>
      </w:r>
    </w:p>
    <w:p w14:paraId="4C2A4DF5" w14:textId="5B38A34C" w:rsidR="00F3480C" w:rsidRDefault="0030622A" w:rsidP="00C07C0D">
      <w:pPr>
        <w:pStyle w:val="Lijstalinea"/>
        <w:numPr>
          <w:ilvl w:val="0"/>
          <w:numId w:val="23"/>
        </w:numPr>
      </w:pPr>
      <w:r>
        <w:t xml:space="preserve">Bij een uitwisseling waarbij het eerste contact uitgaat van de school, BRON is daarvan een voorbeeld, wordt </w:t>
      </w:r>
      <w:r w:rsidR="00F3480C">
        <w:t>door de ketenpartner(s) per keten per leerling</w:t>
      </w:r>
      <w:r w:rsidR="00F06D09">
        <w:t>/student</w:t>
      </w:r>
      <w:r w:rsidR="00F3480C">
        <w:t xml:space="preserve"> de identiteit van de administratie onthouden. Dat is nodig om in latere instantie een bericht de andere kant op te kunnen sturen over die leerling/student.</w:t>
      </w:r>
    </w:p>
    <w:p w14:paraId="6038F279" w14:textId="77777777" w:rsidR="00F3480C" w:rsidRDefault="00F3480C" w:rsidP="00F3480C">
      <w:pPr>
        <w:pStyle w:val="Lijstalinea"/>
      </w:pPr>
    </w:p>
    <w:p w14:paraId="1D50F54A" w14:textId="336FF7FA" w:rsidR="00F3480C" w:rsidRDefault="00F3480C" w:rsidP="00C07C0D">
      <w:pPr>
        <w:pStyle w:val="Lijstalinea"/>
        <w:numPr>
          <w:ilvl w:val="0"/>
          <w:numId w:val="23"/>
        </w:numPr>
      </w:pPr>
      <w:r>
        <w:t>Als het eerste contact uitgaat van een andere partij dan de school, bijvoorbeeld een nieuwe school wil een dossier opvragen bij de oude school, dan heeft de nieuwe school een lijst nodig met de door de oude school gevoerde  administraties. Dit zal een openbare lijst worden</w:t>
      </w:r>
      <w:r w:rsidR="00723CED">
        <w:t xml:space="preserve">. Aanbevolen wordt om bij een administratie een vrije omschrijving te geven van de populatie. </w:t>
      </w:r>
    </w:p>
    <w:p w14:paraId="6556D035" w14:textId="74FE416D" w:rsidR="00723CED" w:rsidRDefault="00723CED"/>
    <w:p w14:paraId="0F06A17E" w14:textId="77777777" w:rsidR="00A42C44" w:rsidRDefault="00A42C44" w:rsidP="003A1EC8"/>
    <w:p w14:paraId="4E7E5CE4" w14:textId="459C1074" w:rsidR="00131964" w:rsidRPr="004B382E" w:rsidRDefault="002C4221" w:rsidP="00131964">
      <w:pPr>
        <w:pStyle w:val="Kop1"/>
        <w:numPr>
          <w:ilvl w:val="0"/>
          <w:numId w:val="18"/>
        </w:numPr>
      </w:pPr>
      <w:bookmarkStart w:id="11" w:name="_Toc504132236"/>
      <w:r>
        <w:t>Afronding</w:t>
      </w:r>
      <w:bookmarkEnd w:id="11"/>
    </w:p>
    <w:p w14:paraId="1D459D62" w14:textId="3108C1AA" w:rsidR="002C4221" w:rsidRDefault="002C4221" w:rsidP="003A1EC8"/>
    <w:p w14:paraId="37FA6B21" w14:textId="77777777" w:rsidR="00F46DF8" w:rsidRDefault="00F46DF8" w:rsidP="003A1EC8"/>
    <w:p w14:paraId="2FE42A58" w14:textId="074D4F57" w:rsidR="002C4221" w:rsidRDefault="002C4221" w:rsidP="003A1EC8">
      <w:r>
        <w:t xml:space="preserve">De Edukoppeling standaard heeft expliciete voorschriften over hoe partijen elkaar kunnen herkennen in het machine-machine berichtenverkeer. Deze afspraken zijn tot stand gekomen onder paraplu van de nationale standaard Digikoppeling. Edukoppeling is verder uitgewerkt vanuit het aspect cloud-computing. </w:t>
      </w:r>
    </w:p>
    <w:p w14:paraId="5CF12CA2" w14:textId="1612D3EE" w:rsidR="002C4221" w:rsidRDefault="002C4221" w:rsidP="003A1EC8"/>
    <w:p w14:paraId="6B590994" w14:textId="6450DD47" w:rsidR="002C4221" w:rsidRDefault="002C4221" w:rsidP="003A1EC8">
      <w:r>
        <w:t xml:space="preserve">Het verwachte resultaat is een openbare </w:t>
      </w:r>
      <w:r w:rsidR="00F46DF8">
        <w:t xml:space="preserve">en enkelvoudige </w:t>
      </w:r>
      <w:r>
        <w:t>‘adressenlijst’ die iedereen kan gebruiken die digitaal wil communiceren met een organisatie in het onderwijsveld.</w:t>
      </w:r>
      <w:r w:rsidR="00F46DF8">
        <w:t xml:space="preserve"> Initieel kan deze lijst worden gebaseerd op specifieke lijstjes van BRON, OSO en anderen. Nadat deze bijeen zijn gevoegd, ligt het onderhoud van een belangrijk deel bij de scholen. </w:t>
      </w:r>
    </w:p>
    <w:p w14:paraId="3D86AB94" w14:textId="38861C0A" w:rsidR="002C4221" w:rsidRDefault="002C4221" w:rsidP="003A1EC8"/>
    <w:p w14:paraId="0BEE85C6" w14:textId="77777777" w:rsidR="002C4221" w:rsidRDefault="002C4221" w:rsidP="003A1EC8"/>
    <w:p w14:paraId="4463ADED" w14:textId="2F5AE77C" w:rsidR="002C4221" w:rsidRDefault="002C4221" w:rsidP="003A1EC8"/>
    <w:p w14:paraId="4D6F4761" w14:textId="53B4197E" w:rsidR="002C4221" w:rsidRDefault="002C4221" w:rsidP="003A1EC8"/>
    <w:p w14:paraId="3F42CB38" w14:textId="0614B6E9" w:rsidR="002C4221" w:rsidRDefault="002C4221" w:rsidP="003A1EC8"/>
    <w:p w14:paraId="63B9B5C0" w14:textId="77777777" w:rsidR="002C4221" w:rsidRDefault="002C4221" w:rsidP="003A1EC8"/>
    <w:sectPr w:rsidR="002C4221" w:rsidSect="005071BE">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5D661" w14:textId="77777777" w:rsidR="00BD60E4" w:rsidRDefault="00BD60E4" w:rsidP="00600912">
      <w:pPr>
        <w:spacing w:after="0" w:line="240" w:lineRule="auto"/>
      </w:pPr>
      <w:r>
        <w:separator/>
      </w:r>
    </w:p>
  </w:endnote>
  <w:endnote w:type="continuationSeparator" w:id="0">
    <w:p w14:paraId="1E5A1CA0" w14:textId="77777777" w:rsidR="00BD60E4" w:rsidRDefault="00BD60E4" w:rsidP="00600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12488"/>
      <w:docPartObj>
        <w:docPartGallery w:val="Page Numbers (Bottom of Page)"/>
        <w:docPartUnique/>
      </w:docPartObj>
    </w:sdtPr>
    <w:sdtContent>
      <w:sdt>
        <w:sdtPr>
          <w:id w:val="1728636285"/>
          <w:docPartObj>
            <w:docPartGallery w:val="Page Numbers (Top of Page)"/>
            <w:docPartUnique/>
          </w:docPartObj>
        </w:sdtPr>
        <w:sdtContent>
          <w:p w14:paraId="42FB48E9" w14:textId="4C7408CF" w:rsidR="002C4221" w:rsidRDefault="002C4221">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sidR="008047EA">
              <w:rPr>
                <w:b/>
                <w:bCs/>
                <w:noProof/>
              </w:rPr>
              <w:t>8</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8047EA">
              <w:rPr>
                <w:b/>
                <w:bCs/>
                <w:noProof/>
              </w:rPr>
              <w:t>8</w:t>
            </w:r>
            <w:r>
              <w:rPr>
                <w:b/>
                <w:bCs/>
                <w:sz w:val="24"/>
                <w:szCs w:val="24"/>
              </w:rPr>
              <w:fldChar w:fldCharType="end"/>
            </w:r>
          </w:p>
        </w:sdtContent>
      </w:sdt>
    </w:sdtContent>
  </w:sdt>
  <w:p w14:paraId="3D28E717" w14:textId="77777777" w:rsidR="002C4221" w:rsidRDefault="002C42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9E265" w14:textId="77777777" w:rsidR="00BD60E4" w:rsidRDefault="00BD60E4" w:rsidP="00600912">
      <w:pPr>
        <w:spacing w:after="0" w:line="240" w:lineRule="auto"/>
      </w:pPr>
      <w:r>
        <w:separator/>
      </w:r>
    </w:p>
  </w:footnote>
  <w:footnote w:type="continuationSeparator" w:id="0">
    <w:p w14:paraId="452CD4D4" w14:textId="77777777" w:rsidR="00BD60E4" w:rsidRDefault="00BD60E4" w:rsidP="00600912">
      <w:pPr>
        <w:spacing w:after="0" w:line="240" w:lineRule="auto"/>
      </w:pPr>
      <w:r>
        <w:continuationSeparator/>
      </w:r>
    </w:p>
  </w:footnote>
  <w:footnote w:id="1">
    <w:p w14:paraId="4D782B6C" w14:textId="1332970A" w:rsidR="002C4221" w:rsidRDefault="002C4221">
      <w:pPr>
        <w:pStyle w:val="Voetnoottekst"/>
      </w:pPr>
      <w:r>
        <w:rPr>
          <w:rStyle w:val="Voetnootmarkering"/>
        </w:rPr>
        <w:footnoteRef/>
      </w:r>
      <w:r>
        <w:t xml:space="preserve"> Het  begrip school wordt in dit gedeelte ‘slordig’ gebruikt. </w:t>
      </w:r>
      <w:r w:rsidR="00F06D09">
        <w:t xml:space="preserve"> </w:t>
      </w:r>
      <w:r w:rsidR="008047EA">
        <w:t>Het omvat termen als onderwijsinstelling en onderwijsaanbieder.</w:t>
      </w:r>
    </w:p>
  </w:footnote>
  <w:footnote w:id="2">
    <w:p w14:paraId="5C62140D" w14:textId="412D1467" w:rsidR="00F46DF8" w:rsidRDefault="00F46DF8">
      <w:pPr>
        <w:pStyle w:val="Voetnoottekst"/>
      </w:pPr>
      <w:r>
        <w:rPr>
          <w:rStyle w:val="Voetnootmarkering"/>
        </w:rPr>
        <w:footnoteRef/>
      </w:r>
      <w:r>
        <w:t xml:space="preserve"> In de praktijk wordt ook de term aanleverpunt gebruikt.  Die wordt hier niet overgenomen omdat dit eenrichtingsverkeer suggereert.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552"/>
    <w:multiLevelType w:val="hybridMultilevel"/>
    <w:tmpl w:val="52420198"/>
    <w:lvl w:ilvl="0" w:tplc="77C43E74">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DF76FEB"/>
    <w:multiLevelType w:val="hybridMultilevel"/>
    <w:tmpl w:val="95B8551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5E6CFD"/>
    <w:multiLevelType w:val="hybridMultilevel"/>
    <w:tmpl w:val="9FF4D9EC"/>
    <w:lvl w:ilvl="0" w:tplc="A1CC9E20">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A634BE"/>
    <w:multiLevelType w:val="hybridMultilevel"/>
    <w:tmpl w:val="2FC04B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F246FA"/>
    <w:multiLevelType w:val="hybridMultilevel"/>
    <w:tmpl w:val="A20E91D4"/>
    <w:lvl w:ilvl="0" w:tplc="9C60C06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A327D0"/>
    <w:multiLevelType w:val="hybridMultilevel"/>
    <w:tmpl w:val="E46209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6D2015"/>
    <w:multiLevelType w:val="hybridMultilevel"/>
    <w:tmpl w:val="1034196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BC6178"/>
    <w:multiLevelType w:val="hybridMultilevel"/>
    <w:tmpl w:val="83945AD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C63270"/>
    <w:multiLevelType w:val="hybridMultilevel"/>
    <w:tmpl w:val="19AEA5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A35B2C"/>
    <w:multiLevelType w:val="hybridMultilevel"/>
    <w:tmpl w:val="0AE0867A"/>
    <w:lvl w:ilvl="0" w:tplc="B380C8C0">
      <w:start w:val="3"/>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0" w15:restartNumberingAfterBreak="0">
    <w:nsid w:val="3DAA7031"/>
    <w:multiLevelType w:val="hybridMultilevel"/>
    <w:tmpl w:val="61DE16E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F56AF1"/>
    <w:multiLevelType w:val="hybridMultilevel"/>
    <w:tmpl w:val="E3CA6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606F3B"/>
    <w:multiLevelType w:val="hybridMultilevel"/>
    <w:tmpl w:val="35068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C1464C"/>
    <w:multiLevelType w:val="hybridMultilevel"/>
    <w:tmpl w:val="1F0088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E8A536E"/>
    <w:multiLevelType w:val="hybridMultilevel"/>
    <w:tmpl w:val="54268C92"/>
    <w:lvl w:ilvl="0" w:tplc="7B8AFBCC">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F2B6D73"/>
    <w:multiLevelType w:val="hybridMultilevel"/>
    <w:tmpl w:val="C09EEBBC"/>
    <w:lvl w:ilvl="0" w:tplc="0B644E5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C05F62"/>
    <w:multiLevelType w:val="hybridMultilevel"/>
    <w:tmpl w:val="0AE0867A"/>
    <w:lvl w:ilvl="0" w:tplc="B380C8C0">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AD81BCE"/>
    <w:multiLevelType w:val="hybridMultilevel"/>
    <w:tmpl w:val="D564F192"/>
    <w:lvl w:ilvl="0" w:tplc="8F121C8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CE6F7E"/>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9" w15:restartNumberingAfterBreak="0">
    <w:nsid w:val="752E352E"/>
    <w:multiLevelType w:val="multilevel"/>
    <w:tmpl w:val="A7921886"/>
    <w:lvl w:ilvl="0">
      <w:start w:val="1"/>
      <w:numFmt w:val="decimal"/>
      <w:lvlText w:val="%1."/>
      <w:lvlJc w:val="left"/>
      <w:pPr>
        <w:ind w:left="850" w:hanging="425"/>
      </w:pPr>
      <w:rPr>
        <w:rFonts w:hint="default"/>
        <w:color w:val="auto"/>
      </w:rPr>
    </w:lvl>
    <w:lvl w:ilvl="1">
      <w:start w:val="1"/>
      <w:numFmt w:val="decimal"/>
      <w:lvlText w:val="%1.%2."/>
      <w:lvlJc w:val="left"/>
      <w:pPr>
        <w:ind w:left="992" w:hanging="567"/>
      </w:pPr>
      <w:rPr>
        <w:rFonts w:hint="default"/>
      </w:rPr>
    </w:lvl>
    <w:lvl w:ilvl="2">
      <w:start w:val="1"/>
      <w:numFmt w:val="decimal"/>
      <w:lvlText w:val="%1.%2.%3."/>
      <w:lvlJc w:val="left"/>
      <w:pPr>
        <w:ind w:left="1134" w:hanging="709"/>
      </w:pPr>
      <w:rPr>
        <w:rFonts w:hint="default"/>
      </w:rPr>
    </w:lvl>
    <w:lvl w:ilvl="3">
      <w:start w:val="1"/>
      <w:numFmt w:val="none"/>
      <w:lvlText w:val=""/>
      <w:lvlJc w:val="left"/>
      <w:pPr>
        <w:ind w:left="1134" w:firstLine="0"/>
      </w:pPr>
      <w:rPr>
        <w:rFonts w:hint="default"/>
      </w:rPr>
    </w:lvl>
    <w:lvl w:ilvl="4">
      <w:start w:val="1"/>
      <w:numFmt w:val="none"/>
      <w:lvlText w:val=""/>
      <w:lvlJc w:val="left"/>
      <w:pPr>
        <w:ind w:left="1134" w:firstLine="0"/>
      </w:pPr>
      <w:rPr>
        <w:rFonts w:hint="default"/>
      </w:rPr>
    </w:lvl>
    <w:lvl w:ilvl="5">
      <w:start w:val="1"/>
      <w:numFmt w:val="none"/>
      <w:lvlText w:val=""/>
      <w:lvlJc w:val="lef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20" w15:restartNumberingAfterBreak="0">
    <w:nsid w:val="772B09C9"/>
    <w:multiLevelType w:val="hybridMultilevel"/>
    <w:tmpl w:val="A00C5D8A"/>
    <w:lvl w:ilvl="0" w:tplc="D05853C6">
      <w:start w:val="1"/>
      <w:numFmt w:val="decimal"/>
      <w:lvlText w:val="%1."/>
      <w:lvlJc w:val="left"/>
      <w:pPr>
        <w:ind w:left="1068" w:hanging="360"/>
      </w:pPr>
      <w:rPr>
        <w:rFonts w:asciiTheme="minorHAnsi" w:eastAsiaTheme="minorHAnsi" w:hAnsiTheme="minorHAnsi" w:cstheme="minorBidi"/>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84B33D1"/>
    <w:multiLevelType w:val="hybridMultilevel"/>
    <w:tmpl w:val="34BA3CDC"/>
    <w:lvl w:ilvl="0" w:tplc="133C236A">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D20F48"/>
    <w:multiLevelType w:val="hybridMultilevel"/>
    <w:tmpl w:val="A3B2769E"/>
    <w:lvl w:ilvl="0" w:tplc="54F48F5E">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22"/>
  </w:num>
  <w:num w:numId="4">
    <w:abstractNumId w:val="10"/>
  </w:num>
  <w:num w:numId="5">
    <w:abstractNumId w:val="4"/>
  </w:num>
  <w:num w:numId="6">
    <w:abstractNumId w:val="8"/>
  </w:num>
  <w:num w:numId="7">
    <w:abstractNumId w:val="12"/>
  </w:num>
  <w:num w:numId="8">
    <w:abstractNumId w:val="0"/>
  </w:num>
  <w:num w:numId="9">
    <w:abstractNumId w:val="1"/>
  </w:num>
  <w:num w:numId="10">
    <w:abstractNumId w:val="21"/>
  </w:num>
  <w:num w:numId="11">
    <w:abstractNumId w:val="3"/>
  </w:num>
  <w:num w:numId="12">
    <w:abstractNumId w:val="11"/>
  </w:num>
  <w:num w:numId="13">
    <w:abstractNumId w:val="18"/>
  </w:num>
  <w:num w:numId="14">
    <w:abstractNumId w:val="19"/>
  </w:num>
  <w:num w:numId="15">
    <w:abstractNumId w:val="13"/>
  </w:num>
  <w:num w:numId="16">
    <w:abstractNumId w:val="20"/>
  </w:num>
  <w:num w:numId="17">
    <w:abstractNumId w:val="6"/>
  </w:num>
  <w:num w:numId="18">
    <w:abstractNumId w:val="16"/>
  </w:num>
  <w:num w:numId="19">
    <w:abstractNumId w:val="9"/>
  </w:num>
  <w:num w:numId="20">
    <w:abstractNumId w:val="2"/>
  </w:num>
  <w:num w:numId="21">
    <w:abstractNumId w:val="15"/>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12"/>
    <w:rsid w:val="00011DF5"/>
    <w:rsid w:val="0004144E"/>
    <w:rsid w:val="000449DE"/>
    <w:rsid w:val="0004552C"/>
    <w:rsid w:val="000465E8"/>
    <w:rsid w:val="00052FB1"/>
    <w:rsid w:val="00056F38"/>
    <w:rsid w:val="00075A97"/>
    <w:rsid w:val="00081222"/>
    <w:rsid w:val="00081FCA"/>
    <w:rsid w:val="00083D85"/>
    <w:rsid w:val="00087977"/>
    <w:rsid w:val="00094417"/>
    <w:rsid w:val="00094910"/>
    <w:rsid w:val="000B5CA2"/>
    <w:rsid w:val="000D5BC3"/>
    <w:rsid w:val="000E400A"/>
    <w:rsid w:val="000E40B3"/>
    <w:rsid w:val="000F5DE0"/>
    <w:rsid w:val="00100D2C"/>
    <w:rsid w:val="00107EF6"/>
    <w:rsid w:val="00131964"/>
    <w:rsid w:val="00143BE7"/>
    <w:rsid w:val="0016604D"/>
    <w:rsid w:val="00167DB2"/>
    <w:rsid w:val="0017244C"/>
    <w:rsid w:val="001837AE"/>
    <w:rsid w:val="00183FB6"/>
    <w:rsid w:val="00190BF1"/>
    <w:rsid w:val="00190E34"/>
    <w:rsid w:val="001A14CE"/>
    <w:rsid w:val="001A5617"/>
    <w:rsid w:val="001B7D63"/>
    <w:rsid w:val="001C41BA"/>
    <w:rsid w:val="001D0636"/>
    <w:rsid w:val="001D77AC"/>
    <w:rsid w:val="001F1FC0"/>
    <w:rsid w:val="001F6B60"/>
    <w:rsid w:val="001F6F7E"/>
    <w:rsid w:val="00203D5F"/>
    <w:rsid w:val="00204C73"/>
    <w:rsid w:val="00215974"/>
    <w:rsid w:val="00225773"/>
    <w:rsid w:val="00236509"/>
    <w:rsid w:val="00240B3B"/>
    <w:rsid w:val="002416D4"/>
    <w:rsid w:val="00254C81"/>
    <w:rsid w:val="002552B6"/>
    <w:rsid w:val="0026654B"/>
    <w:rsid w:val="002731D1"/>
    <w:rsid w:val="002768A4"/>
    <w:rsid w:val="00295FD5"/>
    <w:rsid w:val="0029744B"/>
    <w:rsid w:val="002A14EF"/>
    <w:rsid w:val="002C4221"/>
    <w:rsid w:val="002C5DD8"/>
    <w:rsid w:val="002D0AEE"/>
    <w:rsid w:val="002D2533"/>
    <w:rsid w:val="002E0B43"/>
    <w:rsid w:val="002F6951"/>
    <w:rsid w:val="0030622A"/>
    <w:rsid w:val="00327B3C"/>
    <w:rsid w:val="00340E25"/>
    <w:rsid w:val="00346033"/>
    <w:rsid w:val="00355FC2"/>
    <w:rsid w:val="003642DF"/>
    <w:rsid w:val="003734CD"/>
    <w:rsid w:val="00383218"/>
    <w:rsid w:val="00383F4C"/>
    <w:rsid w:val="00391592"/>
    <w:rsid w:val="003A1EC8"/>
    <w:rsid w:val="003B03C4"/>
    <w:rsid w:val="003B2FCD"/>
    <w:rsid w:val="003B4989"/>
    <w:rsid w:val="003B554C"/>
    <w:rsid w:val="003C5538"/>
    <w:rsid w:val="003D19E7"/>
    <w:rsid w:val="003D6039"/>
    <w:rsid w:val="003E15E4"/>
    <w:rsid w:val="003F68CC"/>
    <w:rsid w:val="00413FC8"/>
    <w:rsid w:val="00414EED"/>
    <w:rsid w:val="00416A8A"/>
    <w:rsid w:val="00431BBF"/>
    <w:rsid w:val="00462C7A"/>
    <w:rsid w:val="00463D5A"/>
    <w:rsid w:val="00470B52"/>
    <w:rsid w:val="0048005A"/>
    <w:rsid w:val="00482F1D"/>
    <w:rsid w:val="004835F3"/>
    <w:rsid w:val="004843C6"/>
    <w:rsid w:val="004955ED"/>
    <w:rsid w:val="004B142C"/>
    <w:rsid w:val="004B2B12"/>
    <w:rsid w:val="004B382E"/>
    <w:rsid w:val="004B6043"/>
    <w:rsid w:val="004B6FC9"/>
    <w:rsid w:val="004B77E8"/>
    <w:rsid w:val="004C4DA5"/>
    <w:rsid w:val="004D291D"/>
    <w:rsid w:val="004E2EDC"/>
    <w:rsid w:val="004E6167"/>
    <w:rsid w:val="004E7F96"/>
    <w:rsid w:val="004F362C"/>
    <w:rsid w:val="004F5321"/>
    <w:rsid w:val="00504E21"/>
    <w:rsid w:val="005071BE"/>
    <w:rsid w:val="00530F60"/>
    <w:rsid w:val="00532D01"/>
    <w:rsid w:val="0053340D"/>
    <w:rsid w:val="005363C7"/>
    <w:rsid w:val="00537A50"/>
    <w:rsid w:val="0054105A"/>
    <w:rsid w:val="00544FC4"/>
    <w:rsid w:val="0056780D"/>
    <w:rsid w:val="00584FA5"/>
    <w:rsid w:val="0059762C"/>
    <w:rsid w:val="00597FF1"/>
    <w:rsid w:val="005B3ED4"/>
    <w:rsid w:val="005C757B"/>
    <w:rsid w:val="005D34AC"/>
    <w:rsid w:val="005D7BB2"/>
    <w:rsid w:val="005E0036"/>
    <w:rsid w:val="005E2D99"/>
    <w:rsid w:val="005E4275"/>
    <w:rsid w:val="00600912"/>
    <w:rsid w:val="006065CF"/>
    <w:rsid w:val="00611820"/>
    <w:rsid w:val="0063229A"/>
    <w:rsid w:val="00632626"/>
    <w:rsid w:val="00633313"/>
    <w:rsid w:val="00633872"/>
    <w:rsid w:val="00636F41"/>
    <w:rsid w:val="0065063F"/>
    <w:rsid w:val="0065622A"/>
    <w:rsid w:val="0065682B"/>
    <w:rsid w:val="0066048B"/>
    <w:rsid w:val="006662FF"/>
    <w:rsid w:val="00675713"/>
    <w:rsid w:val="00677B18"/>
    <w:rsid w:val="00685501"/>
    <w:rsid w:val="0068638A"/>
    <w:rsid w:val="00691B79"/>
    <w:rsid w:val="006A14A7"/>
    <w:rsid w:val="006B2722"/>
    <w:rsid w:val="006B27E1"/>
    <w:rsid w:val="006B69F7"/>
    <w:rsid w:val="006C1BD8"/>
    <w:rsid w:val="006C1C56"/>
    <w:rsid w:val="006C1F65"/>
    <w:rsid w:val="006C2BC3"/>
    <w:rsid w:val="006D030E"/>
    <w:rsid w:val="006D1270"/>
    <w:rsid w:val="006D39B2"/>
    <w:rsid w:val="006F1E53"/>
    <w:rsid w:val="006F34D9"/>
    <w:rsid w:val="00710A29"/>
    <w:rsid w:val="00716CCD"/>
    <w:rsid w:val="00717FA3"/>
    <w:rsid w:val="00723CED"/>
    <w:rsid w:val="00732277"/>
    <w:rsid w:val="00737D4A"/>
    <w:rsid w:val="00775DAE"/>
    <w:rsid w:val="0078076E"/>
    <w:rsid w:val="0079611E"/>
    <w:rsid w:val="007A6B66"/>
    <w:rsid w:val="007B1360"/>
    <w:rsid w:val="007B1807"/>
    <w:rsid w:val="007B1E04"/>
    <w:rsid w:val="007B774A"/>
    <w:rsid w:val="007C378F"/>
    <w:rsid w:val="007C5449"/>
    <w:rsid w:val="007D52D4"/>
    <w:rsid w:val="007D5C14"/>
    <w:rsid w:val="007E1223"/>
    <w:rsid w:val="007E34AB"/>
    <w:rsid w:val="008047EA"/>
    <w:rsid w:val="00811C57"/>
    <w:rsid w:val="008209B3"/>
    <w:rsid w:val="00823BE8"/>
    <w:rsid w:val="00825E72"/>
    <w:rsid w:val="00830865"/>
    <w:rsid w:val="008326BE"/>
    <w:rsid w:val="008414E2"/>
    <w:rsid w:val="00854586"/>
    <w:rsid w:val="00865042"/>
    <w:rsid w:val="00870BAD"/>
    <w:rsid w:val="00870EEF"/>
    <w:rsid w:val="00873744"/>
    <w:rsid w:val="00892305"/>
    <w:rsid w:val="008C0212"/>
    <w:rsid w:val="008C26EB"/>
    <w:rsid w:val="008D24CC"/>
    <w:rsid w:val="008D2555"/>
    <w:rsid w:val="008D327B"/>
    <w:rsid w:val="008D5DEF"/>
    <w:rsid w:val="008E0144"/>
    <w:rsid w:val="008E7E24"/>
    <w:rsid w:val="008F63B6"/>
    <w:rsid w:val="00907849"/>
    <w:rsid w:val="00912121"/>
    <w:rsid w:val="00920B4A"/>
    <w:rsid w:val="009274E5"/>
    <w:rsid w:val="00927715"/>
    <w:rsid w:val="00927EE3"/>
    <w:rsid w:val="00927F91"/>
    <w:rsid w:val="00934176"/>
    <w:rsid w:val="00937929"/>
    <w:rsid w:val="00947EE5"/>
    <w:rsid w:val="00957213"/>
    <w:rsid w:val="009637A8"/>
    <w:rsid w:val="00971C83"/>
    <w:rsid w:val="0097548D"/>
    <w:rsid w:val="00986886"/>
    <w:rsid w:val="00996DC1"/>
    <w:rsid w:val="009A5145"/>
    <w:rsid w:val="009B074F"/>
    <w:rsid w:val="009C543C"/>
    <w:rsid w:val="009C6B9F"/>
    <w:rsid w:val="009F6CBC"/>
    <w:rsid w:val="00A033FC"/>
    <w:rsid w:val="00A06DAD"/>
    <w:rsid w:val="00A124FD"/>
    <w:rsid w:val="00A15BE0"/>
    <w:rsid w:val="00A17C78"/>
    <w:rsid w:val="00A2722B"/>
    <w:rsid w:val="00A312C7"/>
    <w:rsid w:val="00A3535B"/>
    <w:rsid w:val="00A35864"/>
    <w:rsid w:val="00A42C44"/>
    <w:rsid w:val="00A4706B"/>
    <w:rsid w:val="00A51651"/>
    <w:rsid w:val="00A528D9"/>
    <w:rsid w:val="00A6584E"/>
    <w:rsid w:val="00A65E9E"/>
    <w:rsid w:val="00A65EE7"/>
    <w:rsid w:val="00AA7545"/>
    <w:rsid w:val="00AA7874"/>
    <w:rsid w:val="00AB5D10"/>
    <w:rsid w:val="00AE2E2A"/>
    <w:rsid w:val="00B03D60"/>
    <w:rsid w:val="00B05A4E"/>
    <w:rsid w:val="00B06834"/>
    <w:rsid w:val="00B13AE6"/>
    <w:rsid w:val="00B1428C"/>
    <w:rsid w:val="00B164B5"/>
    <w:rsid w:val="00B23CF1"/>
    <w:rsid w:val="00B250CF"/>
    <w:rsid w:val="00B320B6"/>
    <w:rsid w:val="00B37937"/>
    <w:rsid w:val="00B43AE3"/>
    <w:rsid w:val="00B53A4D"/>
    <w:rsid w:val="00B5431C"/>
    <w:rsid w:val="00B74F2E"/>
    <w:rsid w:val="00B8502B"/>
    <w:rsid w:val="00B93740"/>
    <w:rsid w:val="00B95710"/>
    <w:rsid w:val="00BA0F72"/>
    <w:rsid w:val="00BA14B0"/>
    <w:rsid w:val="00BA40A3"/>
    <w:rsid w:val="00BA756E"/>
    <w:rsid w:val="00BB1421"/>
    <w:rsid w:val="00BB3624"/>
    <w:rsid w:val="00BB45B5"/>
    <w:rsid w:val="00BC1040"/>
    <w:rsid w:val="00BC2C84"/>
    <w:rsid w:val="00BC3CEC"/>
    <w:rsid w:val="00BC658A"/>
    <w:rsid w:val="00BD60E4"/>
    <w:rsid w:val="00BF2FC6"/>
    <w:rsid w:val="00C03288"/>
    <w:rsid w:val="00C07C0D"/>
    <w:rsid w:val="00C10BF6"/>
    <w:rsid w:val="00C15378"/>
    <w:rsid w:val="00C22D4F"/>
    <w:rsid w:val="00C31775"/>
    <w:rsid w:val="00C353AD"/>
    <w:rsid w:val="00C46D7A"/>
    <w:rsid w:val="00C50330"/>
    <w:rsid w:val="00C5189D"/>
    <w:rsid w:val="00C53015"/>
    <w:rsid w:val="00C73948"/>
    <w:rsid w:val="00C84071"/>
    <w:rsid w:val="00C850F9"/>
    <w:rsid w:val="00CB34F8"/>
    <w:rsid w:val="00CC6423"/>
    <w:rsid w:val="00CF2E0B"/>
    <w:rsid w:val="00CF62E8"/>
    <w:rsid w:val="00CF6A85"/>
    <w:rsid w:val="00D002C6"/>
    <w:rsid w:val="00D00365"/>
    <w:rsid w:val="00D0331E"/>
    <w:rsid w:val="00D17AD9"/>
    <w:rsid w:val="00D3044D"/>
    <w:rsid w:val="00D30B6C"/>
    <w:rsid w:val="00D34F59"/>
    <w:rsid w:val="00D4040F"/>
    <w:rsid w:val="00D445AC"/>
    <w:rsid w:val="00D478FC"/>
    <w:rsid w:val="00D60222"/>
    <w:rsid w:val="00D619D5"/>
    <w:rsid w:val="00D86466"/>
    <w:rsid w:val="00D904D4"/>
    <w:rsid w:val="00D928A5"/>
    <w:rsid w:val="00D94190"/>
    <w:rsid w:val="00DC1513"/>
    <w:rsid w:val="00DD4751"/>
    <w:rsid w:val="00DF5661"/>
    <w:rsid w:val="00E01161"/>
    <w:rsid w:val="00E0335E"/>
    <w:rsid w:val="00E03B21"/>
    <w:rsid w:val="00E04D07"/>
    <w:rsid w:val="00E153FB"/>
    <w:rsid w:val="00E22CD7"/>
    <w:rsid w:val="00E32E66"/>
    <w:rsid w:val="00E33C7A"/>
    <w:rsid w:val="00E37A78"/>
    <w:rsid w:val="00E41EFF"/>
    <w:rsid w:val="00E439DF"/>
    <w:rsid w:val="00E52D56"/>
    <w:rsid w:val="00E57097"/>
    <w:rsid w:val="00E613E8"/>
    <w:rsid w:val="00E639AF"/>
    <w:rsid w:val="00E6542C"/>
    <w:rsid w:val="00E70A4B"/>
    <w:rsid w:val="00E90BC2"/>
    <w:rsid w:val="00E92E9C"/>
    <w:rsid w:val="00E952E3"/>
    <w:rsid w:val="00E9554A"/>
    <w:rsid w:val="00EA31C9"/>
    <w:rsid w:val="00EB7CBD"/>
    <w:rsid w:val="00EC00E6"/>
    <w:rsid w:val="00EC29CB"/>
    <w:rsid w:val="00ED2AEC"/>
    <w:rsid w:val="00ED2C29"/>
    <w:rsid w:val="00EE118C"/>
    <w:rsid w:val="00EE51D7"/>
    <w:rsid w:val="00EE7C05"/>
    <w:rsid w:val="00EF17A7"/>
    <w:rsid w:val="00F019DD"/>
    <w:rsid w:val="00F05B7B"/>
    <w:rsid w:val="00F06D09"/>
    <w:rsid w:val="00F0724B"/>
    <w:rsid w:val="00F1354C"/>
    <w:rsid w:val="00F14EC1"/>
    <w:rsid w:val="00F14FE4"/>
    <w:rsid w:val="00F22E71"/>
    <w:rsid w:val="00F26FE5"/>
    <w:rsid w:val="00F3480C"/>
    <w:rsid w:val="00F42DA5"/>
    <w:rsid w:val="00F4349A"/>
    <w:rsid w:val="00F453AA"/>
    <w:rsid w:val="00F46DF8"/>
    <w:rsid w:val="00F526EF"/>
    <w:rsid w:val="00F54EBD"/>
    <w:rsid w:val="00F64980"/>
    <w:rsid w:val="00F65849"/>
    <w:rsid w:val="00F87079"/>
    <w:rsid w:val="00FA265F"/>
    <w:rsid w:val="00FB0AEC"/>
    <w:rsid w:val="00FB17DE"/>
    <w:rsid w:val="00FB2F04"/>
    <w:rsid w:val="00FC655E"/>
    <w:rsid w:val="00FD5223"/>
    <w:rsid w:val="00FF5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A42D"/>
  <w15:docId w15:val="{AA35F3D2-4544-4A7E-9E5F-61439D0A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40F"/>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E40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F17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09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0912"/>
  </w:style>
  <w:style w:type="paragraph" w:styleId="Voettekst">
    <w:name w:val="footer"/>
    <w:basedOn w:val="Standaard"/>
    <w:link w:val="VoettekstChar"/>
    <w:uiPriority w:val="99"/>
    <w:unhideWhenUsed/>
    <w:rsid w:val="006009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0912"/>
  </w:style>
  <w:style w:type="paragraph" w:styleId="Voetnoottekst">
    <w:name w:val="footnote text"/>
    <w:basedOn w:val="Standaard"/>
    <w:link w:val="VoetnoottekstChar"/>
    <w:uiPriority w:val="99"/>
    <w:semiHidden/>
    <w:unhideWhenUsed/>
    <w:rsid w:val="00EE118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118C"/>
    <w:rPr>
      <w:sz w:val="20"/>
      <w:szCs w:val="20"/>
    </w:rPr>
  </w:style>
  <w:style w:type="character" w:styleId="Voetnootmarkering">
    <w:name w:val="footnote reference"/>
    <w:basedOn w:val="Standaardalinea-lettertype"/>
    <w:uiPriority w:val="99"/>
    <w:semiHidden/>
    <w:unhideWhenUsed/>
    <w:rsid w:val="00EE118C"/>
    <w:rPr>
      <w:vertAlign w:val="superscript"/>
    </w:rPr>
  </w:style>
  <w:style w:type="paragraph" w:styleId="Lijstalinea">
    <w:name w:val="List Paragraph"/>
    <w:basedOn w:val="Standaard"/>
    <w:uiPriority w:val="34"/>
    <w:qFormat/>
    <w:rsid w:val="00737D4A"/>
    <w:pPr>
      <w:ind w:left="720"/>
      <w:contextualSpacing/>
    </w:pPr>
  </w:style>
  <w:style w:type="table" w:styleId="Tabelraster">
    <w:name w:val="Table Grid"/>
    <w:basedOn w:val="Standaardtabel"/>
    <w:uiPriority w:val="59"/>
    <w:rsid w:val="00413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63D5A"/>
    <w:rPr>
      <w:color w:val="0563C1" w:themeColor="hyperlink"/>
      <w:u w:val="single"/>
    </w:rPr>
  </w:style>
  <w:style w:type="paragraph" w:styleId="Tekstzonderopmaak">
    <w:name w:val="Plain Text"/>
    <w:basedOn w:val="Standaard"/>
    <w:link w:val="TekstzonderopmaakChar"/>
    <w:uiPriority w:val="99"/>
    <w:semiHidden/>
    <w:unhideWhenUsed/>
    <w:rsid w:val="0067571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75713"/>
    <w:rPr>
      <w:rFonts w:ascii="Calibri" w:hAnsi="Calibri"/>
      <w:szCs w:val="21"/>
    </w:rPr>
  </w:style>
  <w:style w:type="paragraph" w:styleId="Ballontekst">
    <w:name w:val="Balloon Text"/>
    <w:basedOn w:val="Standaard"/>
    <w:link w:val="BallontekstChar"/>
    <w:uiPriority w:val="99"/>
    <w:semiHidden/>
    <w:unhideWhenUsed/>
    <w:rsid w:val="00B937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740"/>
    <w:rPr>
      <w:rFonts w:ascii="Tahoma" w:hAnsi="Tahoma" w:cs="Tahoma"/>
      <w:sz w:val="16"/>
      <w:szCs w:val="16"/>
    </w:rPr>
  </w:style>
  <w:style w:type="character" w:customStyle="1" w:styleId="Kop1Char">
    <w:name w:val="Kop 1 Char"/>
    <w:basedOn w:val="Standaardalinea-lettertype"/>
    <w:link w:val="Kop1"/>
    <w:uiPriority w:val="9"/>
    <w:rsid w:val="00D4040F"/>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D4040F"/>
    <w:pPr>
      <w:spacing w:after="0" w:line="240" w:lineRule="auto"/>
    </w:pPr>
  </w:style>
  <w:style w:type="character" w:customStyle="1" w:styleId="Kop2Char">
    <w:name w:val="Kop 2 Char"/>
    <w:basedOn w:val="Standaardalinea-lettertype"/>
    <w:link w:val="Kop2"/>
    <w:uiPriority w:val="9"/>
    <w:rsid w:val="000E400A"/>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0E400A"/>
    <w:pPr>
      <w:numPr>
        <w:numId w:val="0"/>
      </w:numPr>
      <w:spacing w:before="480" w:after="200" w:line="276" w:lineRule="auto"/>
      <w:outlineLvl w:val="9"/>
    </w:pPr>
    <w:rPr>
      <w:rFonts w:ascii="Arial" w:hAnsi="Arial"/>
      <w:color w:val="000000" w:themeColor="text1"/>
      <w:sz w:val="28"/>
      <w:szCs w:val="28"/>
      <w:lang w:eastAsia="ja-JP"/>
    </w:rPr>
  </w:style>
  <w:style w:type="paragraph" w:styleId="Inhopg1">
    <w:name w:val="toc 1"/>
    <w:basedOn w:val="Standaard"/>
    <w:next w:val="Standaard"/>
    <w:autoRedefine/>
    <w:uiPriority w:val="39"/>
    <w:unhideWhenUsed/>
    <w:rsid w:val="000E400A"/>
    <w:pPr>
      <w:tabs>
        <w:tab w:val="left" w:pos="360"/>
        <w:tab w:val="right" w:pos="9056"/>
      </w:tabs>
      <w:spacing w:before="120" w:after="0" w:line="260" w:lineRule="atLeast"/>
    </w:pPr>
    <w:rPr>
      <w:rFonts w:ascii="Arial" w:hAnsi="Arial"/>
      <w:b/>
      <w:bCs/>
      <w:color w:val="000000" w:themeColor="text1"/>
      <w:sz w:val="18"/>
      <w:lang w:eastAsia="zh-TW" w:bidi="hi-IN"/>
    </w:rPr>
  </w:style>
  <w:style w:type="paragraph" w:styleId="Inhopg2">
    <w:name w:val="toc 2"/>
    <w:basedOn w:val="Standaard"/>
    <w:next w:val="Standaard"/>
    <w:autoRedefine/>
    <w:uiPriority w:val="39"/>
    <w:unhideWhenUsed/>
    <w:rsid w:val="000E400A"/>
    <w:pPr>
      <w:spacing w:after="0" w:line="260" w:lineRule="atLeast"/>
      <w:ind w:left="180"/>
    </w:pPr>
    <w:rPr>
      <w:rFonts w:ascii="Arial" w:hAnsi="Arial"/>
      <w:i/>
      <w:iCs/>
      <w:color w:val="000000" w:themeColor="text1"/>
      <w:sz w:val="18"/>
      <w:lang w:eastAsia="zh-TW" w:bidi="hi-IN"/>
    </w:rPr>
  </w:style>
  <w:style w:type="paragraph" w:styleId="Inhopg3">
    <w:name w:val="toc 3"/>
    <w:basedOn w:val="Standaard"/>
    <w:next w:val="Standaard"/>
    <w:autoRedefine/>
    <w:uiPriority w:val="39"/>
    <w:unhideWhenUsed/>
    <w:rsid w:val="000E400A"/>
    <w:pPr>
      <w:tabs>
        <w:tab w:val="left" w:pos="1260"/>
        <w:tab w:val="right" w:pos="9056"/>
      </w:tabs>
      <w:spacing w:after="0" w:line="260" w:lineRule="atLeast"/>
      <w:ind w:left="360"/>
    </w:pPr>
    <w:rPr>
      <w:rFonts w:ascii="Arial" w:hAnsi="Arial"/>
      <w:noProof/>
      <w:color w:val="000000" w:themeColor="text1"/>
      <w:sz w:val="18"/>
      <w:szCs w:val="18"/>
      <w:lang w:eastAsia="zh-TW" w:bidi="hi-IN"/>
    </w:rPr>
  </w:style>
  <w:style w:type="character" w:styleId="Subtielebenadrukking">
    <w:name w:val="Subtle Emphasis"/>
    <w:basedOn w:val="Standaardalinea-lettertype"/>
    <w:uiPriority w:val="19"/>
    <w:qFormat/>
    <w:rsid w:val="00717FA3"/>
    <w:rPr>
      <w:i/>
      <w:iCs/>
      <w:color w:val="404040" w:themeColor="text1" w:themeTint="BF"/>
    </w:rPr>
  </w:style>
  <w:style w:type="paragraph" w:styleId="Bijschrift">
    <w:name w:val="caption"/>
    <w:basedOn w:val="Standaard"/>
    <w:next w:val="Standaard"/>
    <w:uiPriority w:val="35"/>
    <w:unhideWhenUsed/>
    <w:qFormat/>
    <w:rsid w:val="00D30B6C"/>
    <w:pPr>
      <w:spacing w:after="200" w:line="240" w:lineRule="auto"/>
    </w:pPr>
    <w:rPr>
      <w:i/>
      <w:iCs/>
      <w:color w:val="44546A" w:themeColor="text2"/>
      <w:sz w:val="18"/>
      <w:szCs w:val="18"/>
    </w:rPr>
  </w:style>
  <w:style w:type="character" w:styleId="Verwijzingopmerking">
    <w:name w:val="annotation reference"/>
    <w:basedOn w:val="Standaardalinea-lettertype"/>
    <w:uiPriority w:val="99"/>
    <w:semiHidden/>
    <w:unhideWhenUsed/>
    <w:rsid w:val="00EC29CB"/>
    <w:rPr>
      <w:sz w:val="16"/>
      <w:szCs w:val="16"/>
    </w:rPr>
  </w:style>
  <w:style w:type="paragraph" w:styleId="Tekstopmerking">
    <w:name w:val="annotation text"/>
    <w:basedOn w:val="Standaard"/>
    <w:link w:val="TekstopmerkingChar"/>
    <w:uiPriority w:val="99"/>
    <w:semiHidden/>
    <w:unhideWhenUsed/>
    <w:rsid w:val="00EC29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29CB"/>
    <w:rPr>
      <w:sz w:val="20"/>
      <w:szCs w:val="20"/>
    </w:rPr>
  </w:style>
  <w:style w:type="paragraph" w:styleId="Onderwerpvanopmerking">
    <w:name w:val="annotation subject"/>
    <w:basedOn w:val="Tekstopmerking"/>
    <w:next w:val="Tekstopmerking"/>
    <w:link w:val="OnderwerpvanopmerkingChar"/>
    <w:uiPriority w:val="99"/>
    <w:semiHidden/>
    <w:unhideWhenUsed/>
    <w:rsid w:val="00EC29CB"/>
    <w:rPr>
      <w:b/>
      <w:bCs/>
    </w:rPr>
  </w:style>
  <w:style w:type="character" w:customStyle="1" w:styleId="OnderwerpvanopmerkingChar">
    <w:name w:val="Onderwerp van opmerking Char"/>
    <w:basedOn w:val="TekstopmerkingChar"/>
    <w:link w:val="Onderwerpvanopmerking"/>
    <w:uiPriority w:val="99"/>
    <w:semiHidden/>
    <w:rsid w:val="00EC29CB"/>
    <w:rPr>
      <w:b/>
      <w:bCs/>
      <w:sz w:val="20"/>
      <w:szCs w:val="20"/>
    </w:rPr>
  </w:style>
  <w:style w:type="character" w:styleId="GevolgdeHyperlink">
    <w:name w:val="FollowedHyperlink"/>
    <w:basedOn w:val="Standaardalinea-lettertype"/>
    <w:uiPriority w:val="99"/>
    <w:semiHidden/>
    <w:unhideWhenUsed/>
    <w:rsid w:val="00C353AD"/>
    <w:rPr>
      <w:color w:val="954F72" w:themeColor="followedHyperlink"/>
      <w:u w:val="single"/>
    </w:rPr>
  </w:style>
  <w:style w:type="character" w:customStyle="1" w:styleId="Kop3Char">
    <w:name w:val="Kop 3 Char"/>
    <w:basedOn w:val="Standaardalinea-lettertype"/>
    <w:link w:val="Kop3"/>
    <w:uiPriority w:val="9"/>
    <w:rsid w:val="00EF17A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835379">
      <w:bodyDiv w:val="1"/>
      <w:marLeft w:val="0"/>
      <w:marRight w:val="0"/>
      <w:marTop w:val="0"/>
      <w:marBottom w:val="0"/>
      <w:divBdr>
        <w:top w:val="none" w:sz="0" w:space="0" w:color="auto"/>
        <w:left w:val="none" w:sz="0" w:space="0" w:color="auto"/>
        <w:bottom w:val="none" w:sz="0" w:space="0" w:color="auto"/>
        <w:right w:val="none" w:sz="0" w:space="0" w:color="auto"/>
      </w:divBdr>
    </w:div>
    <w:div w:id="815758424">
      <w:bodyDiv w:val="1"/>
      <w:marLeft w:val="0"/>
      <w:marRight w:val="0"/>
      <w:marTop w:val="0"/>
      <w:marBottom w:val="0"/>
      <w:divBdr>
        <w:top w:val="none" w:sz="0" w:space="0" w:color="auto"/>
        <w:left w:val="none" w:sz="0" w:space="0" w:color="auto"/>
        <w:bottom w:val="none" w:sz="0" w:space="0" w:color="auto"/>
        <w:right w:val="none" w:sz="0" w:space="0" w:color="auto"/>
      </w:divBdr>
    </w:div>
    <w:div w:id="11714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standaard.nl/standaarden/afspraken/afspraak/edukoppe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3F7CC31DB334DBC5F8B4C121D64B6" ma:contentTypeVersion="0" ma:contentTypeDescription="Een nieuw document maken." ma:contentTypeScope="" ma:versionID="8c94bec61133b3d446c8115f3b9d06aa">
  <xsd:schema xmlns:xsd="http://www.w3.org/2001/XMLSchema" xmlns:xs="http://www.w3.org/2001/XMLSchema" xmlns:p="http://schemas.microsoft.com/office/2006/metadata/properties" targetNamespace="http://schemas.microsoft.com/office/2006/metadata/properties" ma:root="true" ma:fieldsID="1b10c9f0b038841e31f927b16ccaa7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B2B7-DE74-4942-BF81-2DC52250003D}">
  <ds:schemaRefs>
    <ds:schemaRef ds:uri="http://schemas.microsoft.com/sharepoint/v3/contenttype/forms"/>
  </ds:schemaRefs>
</ds:datastoreItem>
</file>

<file path=customXml/itemProps2.xml><?xml version="1.0" encoding="utf-8"?>
<ds:datastoreItem xmlns:ds="http://schemas.openxmlformats.org/officeDocument/2006/customXml" ds:itemID="{6D651D45-D4D3-4E7E-8E5D-ECC69D9D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0A31AC-9461-414B-857A-F8DFE98B24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51746E-D7BB-4633-AC95-B6B157AC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1883</Words>
  <Characters>10362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Dienst Uitvoering Onderwijs</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Groot Roessink</dc:creator>
  <cp:lastModifiedBy>Gerald Groot Roessink</cp:lastModifiedBy>
  <cp:revision>8</cp:revision>
  <dcterms:created xsi:type="dcterms:W3CDTF">2017-09-12T18:29:00Z</dcterms:created>
  <dcterms:modified xsi:type="dcterms:W3CDTF">2018-01-19T12:36:00Z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0x0101009CE3F7CC31DB334DBC5F8B4C121D64B6</vt:lpwstr>
  </property>
</Properties>
</file>