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document.xml" ContentType="application/vnd.openxmlformats-officedocument.wordprocessingml.document.main+xml"/>
  <Override PartName="/word/media/image6.png" ContentType="image/png"/>
  <Override PartName="/word/media/image5.png" ContentType="image/png"/>
  <Override PartName="/word/media/image4.png" ContentType="image/png"/>
  <Override PartName="/word/media/image3.png" ContentType="image/png"/>
  <Override PartName="/word/media/image1.png" ContentType="image/png"/>
  <Override PartName="/word/media/image2.png" ContentType="image/png"/>
  <Override PartName="/word/media/image7.png" ContentType="image/png"/>
  <Override PartName="/word/media/image8.png" ContentType="image/png"/>
  <Override PartName="/word/media/image9.png" ContentType="image/png"/>
  <Override PartName="/word/media/image25.png" ContentType="image/png"/>
  <Override PartName="/word/media/image24.png" ContentType="image/png"/>
  <Override PartName="/word/media/image23.png" ContentType="image/png"/>
  <Override PartName="/word/media/image22.png" ContentType="image/png"/>
  <Override PartName="/word/media/image21.png" ContentType="image/png"/>
  <Override PartName="/word/media/image20.png" ContentType="image/png"/>
  <Override PartName="/word/media/image19.png" ContentType="image/png"/>
  <Override PartName="/word/media/image18.png" ContentType="image/png"/>
  <Override PartName="/word/media/image17.png" ContentType="image/png"/>
  <Override PartName="/word/media/image15.png" ContentType="image/png"/>
  <Override PartName="/word/media/image16.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footer1.xml" ContentType="application/vnd.openxmlformats-officedocument.wordprocessingml.footer+xml"/>
  <Override PartName="/word/settings.xml" ContentType="application/vnd.openxmlformats-officedocument.wordprocessingml.settings+xml"/>
  <Override PartName="/word/footnotes.xml" ContentType="application/vnd.openxmlformats-officedocument.wordprocessingml.footnotes+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el"/>
        <w:spacing w:before="240" w:after="120"/>
        <w:rPr>
          <w:rFonts w:ascii="Verdana" w:hAnsi="Verdana"/>
          <w:sz w:val="20"/>
          <w:szCs w:val="20"/>
        </w:rPr>
      </w:pPr>
      <w:r>
        <w:rPr>
          <w:rFonts w:ascii="Verdana" w:hAnsi="Verdana"/>
          <w:sz w:val="20"/>
          <w:szCs w:val="20"/>
        </w:rPr>
        <w:drawing>
          <wp:anchor behindDoc="0" distT="0" distB="0" distL="0" distR="0" simplePos="0" locked="0" layoutInCell="1" allowOverlap="1" relativeHeight="3">
            <wp:simplePos x="0" y="0"/>
            <wp:positionH relativeFrom="column">
              <wp:posOffset>2653030</wp:posOffset>
            </wp:positionH>
            <wp:positionV relativeFrom="paragraph">
              <wp:posOffset>360045</wp:posOffset>
            </wp:positionV>
            <wp:extent cx="814705" cy="814705"/>
            <wp:effectExtent l="0" t="0" r="0" b="0"/>
            <wp:wrapSquare wrapText="largest"/>
            <wp:docPr id="1" name="Afbeelding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8" descr=""/>
                    <pic:cNvPicPr>
                      <a:picLocks noChangeAspect="1" noChangeArrowheads="1"/>
                    </pic:cNvPicPr>
                  </pic:nvPicPr>
                  <pic:blipFill>
                    <a:blip r:embed="rId2"/>
                    <a:stretch>
                      <a:fillRect/>
                    </a:stretch>
                  </pic:blipFill>
                  <pic:spPr bwMode="auto">
                    <a:xfrm>
                      <a:off x="0" y="0"/>
                      <a:ext cx="814705" cy="814705"/>
                    </a:xfrm>
                    <a:prstGeom prst="rect">
                      <a:avLst/>
                    </a:prstGeom>
                  </pic:spPr>
                </pic:pic>
              </a:graphicData>
            </a:graphic>
          </wp:anchor>
        </w:drawing>
      </w:r>
    </w:p>
    <w:p>
      <w:pPr>
        <w:pStyle w:val="Tekstblok"/>
        <w:rPr>
          <w:szCs w:val="20"/>
        </w:rPr>
      </w:pPr>
      <w:r>
        <w:rPr>
          <w:szCs w:val="20"/>
        </w:rPr>
      </w:r>
    </w:p>
    <w:p>
      <w:pPr>
        <w:pStyle w:val="Titel"/>
        <w:rPr>
          <w:rFonts w:ascii="Verdana" w:hAnsi="Verdana"/>
          <w:sz w:val="20"/>
          <w:szCs w:val="20"/>
        </w:rPr>
      </w:pPr>
      <w:r>
        <w:rPr>
          <w:rFonts w:ascii="Verdana" w:hAnsi="Verdana"/>
          <w:sz w:val="20"/>
          <w:szCs w:val="20"/>
        </w:rPr>
      </w:r>
    </w:p>
    <w:p>
      <w:pPr>
        <w:pStyle w:val="Titel"/>
        <w:rPr>
          <w:rFonts w:ascii="Verdana" w:hAnsi="Verdana"/>
          <w:sz w:val="20"/>
          <w:szCs w:val="20"/>
        </w:rPr>
      </w:pPr>
      <w:r>
        <w:rPr>
          <w:rFonts w:ascii="Verdana" w:hAnsi="Verdana"/>
          <w:sz w:val="20"/>
          <w:szCs w:val="20"/>
        </w:rPr>
      </w:r>
    </w:p>
    <w:p>
      <w:pPr>
        <w:pStyle w:val="Titel"/>
        <w:rPr>
          <w:rFonts w:ascii="Verdana" w:hAnsi="Verdana"/>
          <w:sz w:val="24"/>
          <w:szCs w:val="20"/>
        </w:rPr>
      </w:pPr>
      <w:r>
        <w:rPr>
          <w:rFonts w:ascii="Verdana" w:hAnsi="Verdana"/>
          <w:sz w:val="24"/>
          <w:szCs w:val="20"/>
        </w:rPr>
        <w:t xml:space="preserve">Toekomstvisie Facet </w:t>
      </w:r>
    </w:p>
    <w:p>
      <w:pPr>
        <w:pStyle w:val="Subtitel"/>
        <w:rPr>
          <w:rFonts w:ascii="Verdana" w:hAnsi="Verdana"/>
          <w:sz w:val="20"/>
          <w:szCs w:val="20"/>
        </w:rPr>
      </w:pPr>
      <w:r>
        <w:rPr>
          <w:rFonts w:ascii="Verdana" w:hAnsi="Verdana"/>
          <w:sz w:val="20"/>
          <w:szCs w:val="20"/>
        </w:rPr>
      </w:r>
    </w:p>
    <w:p>
      <w:pPr>
        <w:pStyle w:val="Subtitel"/>
        <w:rPr>
          <w:rFonts w:ascii="Verdana" w:hAnsi="Verdana"/>
          <w:sz w:val="20"/>
          <w:szCs w:val="20"/>
        </w:rPr>
      </w:pPr>
      <w:r>
        <w:rPr>
          <w:rFonts w:ascii="Verdana" w:hAnsi="Verdana"/>
          <w:sz w:val="20"/>
          <w:szCs w:val="20"/>
        </w:rPr>
      </w:r>
      <w:bookmarkStart w:id="0" w:name="_GoBack"/>
      <w:bookmarkStart w:id="1" w:name="_GoBack"/>
      <w:bookmarkEnd w:id="1"/>
    </w:p>
    <w:p>
      <w:pPr>
        <w:pStyle w:val="Tekstblok"/>
        <w:rPr>
          <w:szCs w:val="20"/>
        </w:rPr>
      </w:pPr>
      <w:r>
        <w:rPr>
          <w:szCs w:val="20"/>
        </w:rPr>
      </w:r>
    </w:p>
    <w:p>
      <w:pPr>
        <w:pStyle w:val="Tekstblok"/>
        <w:rPr>
          <w:szCs w:val="20"/>
        </w:rPr>
      </w:pPr>
      <w:r>
        <w:rPr>
          <w:szCs w:val="20"/>
        </w:rPr>
      </w:r>
    </w:p>
    <w:p>
      <w:pPr>
        <w:pStyle w:val="Tekstblok"/>
        <w:jc w:val="center"/>
        <w:rPr/>
      </w:pPr>
      <w:r>
        <w:rPr/>
        <w:drawing>
          <wp:inline distT="0" distB="0" distL="0" distR="0">
            <wp:extent cx="6120130" cy="2319655"/>
            <wp:effectExtent l="0" t="0" r="0" b="0"/>
            <wp:docPr id="2" name="Afbeelding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6" descr=""/>
                    <pic:cNvPicPr>
                      <a:picLocks noChangeAspect="1" noChangeArrowheads="1"/>
                    </pic:cNvPicPr>
                  </pic:nvPicPr>
                  <pic:blipFill>
                    <a:blip r:embed="rId3"/>
                    <a:stretch>
                      <a:fillRect/>
                    </a:stretch>
                  </pic:blipFill>
                  <pic:spPr bwMode="auto">
                    <a:xfrm>
                      <a:off x="0" y="0"/>
                      <a:ext cx="6120130" cy="2319655"/>
                    </a:xfrm>
                    <a:prstGeom prst="rect">
                      <a:avLst/>
                    </a:prstGeom>
                  </pic:spPr>
                </pic:pic>
              </a:graphicData>
            </a:graphic>
          </wp:inline>
        </w:drawing>
      </w:r>
    </w:p>
    <w:p>
      <w:pPr>
        <w:pStyle w:val="Tekstblok"/>
        <w:rPr>
          <w:szCs w:val="20"/>
        </w:rPr>
      </w:pPr>
      <w:r>
        <w:rPr>
          <w:szCs w:val="20"/>
        </w:rPr>
      </w:r>
    </w:p>
    <w:tbl>
      <w:tblPr>
        <w:tblW w:w="3839" w:type="dxa"/>
        <w:jc w:val="righ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41" w:type="dxa"/>
          <w:bottom w:w="55" w:type="dxa"/>
          <w:right w:w="55" w:type="dxa"/>
        </w:tblCellMar>
        <w:tblLook w:lastRow="0" w:firstRow="1" w:lastColumn="0" w:firstColumn="1" w:val="04a0" w:noHBand="0" w:noVBand="1"/>
      </w:tblPr>
      <w:tblGrid>
        <w:gridCol w:w="3839"/>
      </w:tblGrid>
      <w:tr>
        <w:trPr>
          <w:trHeight w:val="892" w:hRule="atLeast"/>
        </w:trPr>
        <w:tc>
          <w:tcPr>
            <w:tcW w:w="383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color="auto" w:fill="EEEEEE" w:val="clear"/>
          </w:tcPr>
          <w:p>
            <w:pPr>
              <w:pStyle w:val="Inhoudtabel"/>
              <w:rPr/>
            </w:pPr>
            <w:r>
              <w:rPr>
                <w:szCs w:val="20"/>
              </w:rPr>
              <w:t>Versie</w:t>
              <w:tab/>
              <w:t>: 1.0</w:t>
            </w:r>
          </w:p>
          <w:p>
            <w:pPr>
              <w:pStyle w:val="Inhoudtabel"/>
              <w:rPr/>
            </w:pPr>
            <w:r>
              <w:rPr>
                <w:szCs w:val="20"/>
              </w:rPr>
              <w:t>Datum</w:t>
              <w:tab/>
              <w:t>: 12-10-2018</w:t>
            </w:r>
          </w:p>
          <w:p>
            <w:pPr>
              <w:pStyle w:val="Inhoudtabel"/>
              <w:rPr>
                <w:szCs w:val="20"/>
              </w:rPr>
            </w:pPr>
            <w:r>
              <w:rPr>
                <w:szCs w:val="20"/>
              </w:rPr>
              <w:t>Auteur</w:t>
              <w:tab/>
              <w:t>: Werkgroep Facet</w:t>
            </w:r>
          </w:p>
        </w:tc>
      </w:tr>
    </w:tbl>
    <w:p>
      <w:pPr>
        <w:pStyle w:val="Tekstblok"/>
        <w:rPr>
          <w:szCs w:val="20"/>
        </w:rPr>
      </w:pPr>
      <w:r>
        <w:rPr>
          <w:szCs w:val="20"/>
        </w:rPr>
      </w:r>
      <w:r>
        <w:br w:type="page"/>
      </w:r>
    </w:p>
    <w:p>
      <w:pPr>
        <w:pStyle w:val="Tekstblok"/>
        <w:rPr>
          <w:sz w:val="22"/>
          <w:szCs w:val="20"/>
        </w:rPr>
      </w:pPr>
      <w:r>
        <w:rPr>
          <w:sz w:val="22"/>
          <w:szCs w:val="20"/>
        </w:rPr>
      </w:r>
    </w:p>
    <w:p>
      <w:pPr>
        <w:pStyle w:val="Kop1"/>
        <w:numPr>
          <w:ilvl w:val="0"/>
          <w:numId w:val="22"/>
        </w:numPr>
        <w:rPr/>
      </w:pPr>
      <w:bookmarkStart w:id="2" w:name="_Toc524688260"/>
      <w:r>
        <w:rPr/>
        <w:t>Inhoudsopgave</w:t>
      </w:r>
      <w:bookmarkEnd w:id="2"/>
    </w:p>
    <w:p>
      <w:pPr>
        <w:pStyle w:val="Toaheading"/>
        <w:rPr/>
      </w:pPr>
      <w:r>
        <w:rPr/>
      </w:r>
    </w:p>
    <w:sdt>
      <w:sdtPr>
        <w:docPartObj>
          <w:docPartGallery w:val="Table of Contents"/>
          <w:docPartUnique w:val="true"/>
        </w:docPartObj>
      </w:sdtPr>
      <w:sdtContent>
        <w:p>
          <w:pPr>
            <w:pStyle w:val="Inhoudsopgave1"/>
            <w:tabs>
              <w:tab w:val="left" w:pos="566" w:leader="none"/>
              <w:tab w:val="right" w:pos="9638" w:leader="dot"/>
            </w:tabs>
            <w:rPr>
              <w:rFonts w:ascii="Calibri" w:hAnsi="Calibri" w:eastAsia="" w:cs="" w:asciiTheme="minorHAnsi" w:cstheme="minorBidi" w:eastAsiaTheme="minorEastAsia" w:hAnsiTheme="minorHAnsi"/>
              <w:kern w:val="0"/>
              <w:sz w:val="22"/>
              <w:szCs w:val="22"/>
              <w:lang w:eastAsia="nl-NL" w:bidi="ar-SA"/>
            </w:rPr>
          </w:pPr>
          <w:r>
            <w:fldChar w:fldCharType="begin"/>
          </w:r>
          <w:r>
            <w:rPr>
              <w:rStyle w:val="Indexkoppeling"/>
            </w:rPr>
            <w:instrText> TOC \f \o "1-9" \h</w:instrText>
          </w:r>
          <w:r>
            <w:rPr>
              <w:rStyle w:val="Indexkoppeling"/>
            </w:rPr>
            <w:fldChar w:fldCharType="separate"/>
          </w:r>
          <w:hyperlink w:anchor="_Toc524688260">
            <w:r>
              <w:rPr>
                <w:rStyle w:val="Indexkoppeling"/>
              </w:rPr>
              <w:t>1</w:t>
            </w:r>
            <w:r>
              <w:rPr>
                <w:rStyle w:val="Indexkoppeling"/>
                <w:rFonts w:eastAsia="" w:cs="" w:ascii="Calibri" w:hAnsi="Calibri" w:asciiTheme="minorHAnsi" w:cstheme="minorBidi" w:eastAsiaTheme="minorEastAsia" w:hAnsiTheme="minorHAnsi"/>
                <w:kern w:val="0"/>
                <w:sz w:val="22"/>
                <w:szCs w:val="22"/>
                <w:lang w:eastAsia="nl-NL" w:bidi="ar-SA"/>
              </w:rPr>
              <w:tab/>
            </w:r>
            <w:r>
              <w:rPr>
                <w:webHidden/>
              </w:rPr>
              <w:fldChar w:fldCharType="begin"/>
            </w:r>
            <w:r>
              <w:rPr>
                <w:webHidden/>
              </w:rPr>
              <w:instrText>PAGEREF _Toc524688260 \h</w:instrText>
            </w:r>
            <w:r>
              <w:rPr>
                <w:webHidden/>
              </w:rPr>
              <w:fldChar w:fldCharType="separate"/>
            </w:r>
            <w:r>
              <w:rPr>
                <w:rStyle w:val="Indexkoppeling"/>
              </w:rPr>
              <w:t>Inhoudsopgave</w:t>
              <w:tab/>
              <w:t>2</w:t>
            </w:r>
            <w:r>
              <w:rPr>
                <w:webHidden/>
              </w:rPr>
              <w:fldChar w:fldCharType="end"/>
            </w:r>
          </w:hyperlink>
        </w:p>
        <w:p>
          <w:pPr>
            <w:pStyle w:val="Inhoudsopgave1"/>
            <w:tabs>
              <w:tab w:val="left" w:pos="566" w:leader="none"/>
              <w:tab w:val="right" w:pos="9638" w:leader="dot"/>
            </w:tabs>
            <w:rPr>
              <w:rFonts w:ascii="Calibri" w:hAnsi="Calibri" w:eastAsia="" w:cs="" w:asciiTheme="minorHAnsi" w:cstheme="minorBidi" w:eastAsiaTheme="minorEastAsia" w:hAnsiTheme="minorHAnsi"/>
              <w:kern w:val="0"/>
              <w:sz w:val="22"/>
              <w:szCs w:val="22"/>
              <w:lang w:eastAsia="nl-NL" w:bidi="ar-SA"/>
            </w:rPr>
          </w:pPr>
          <w:hyperlink w:anchor="_Toc524688261">
            <w:r>
              <w:rPr>
                <w:rStyle w:val="Indexkoppeling"/>
              </w:rPr>
              <w:t>2</w:t>
            </w:r>
            <w:r>
              <w:rPr>
                <w:rStyle w:val="Indexkoppeling"/>
                <w:rFonts w:eastAsia="" w:cs="" w:ascii="Calibri" w:hAnsi="Calibri" w:asciiTheme="minorHAnsi" w:cstheme="minorBidi" w:eastAsiaTheme="minorEastAsia" w:hAnsiTheme="minorHAnsi"/>
                <w:kern w:val="0"/>
                <w:sz w:val="22"/>
                <w:szCs w:val="22"/>
                <w:lang w:eastAsia="nl-NL" w:bidi="ar-SA"/>
              </w:rPr>
              <w:tab/>
            </w:r>
            <w:r>
              <w:rPr>
                <w:webHidden/>
              </w:rPr>
              <w:fldChar w:fldCharType="begin"/>
            </w:r>
            <w:r>
              <w:rPr>
                <w:webHidden/>
              </w:rPr>
              <w:instrText>PAGEREF _Toc524688261 \h</w:instrText>
            </w:r>
            <w:r>
              <w:rPr>
                <w:webHidden/>
              </w:rPr>
              <w:fldChar w:fldCharType="separate"/>
            </w:r>
            <w:r>
              <w:rPr>
                <w:rStyle w:val="Indexkoppeling"/>
              </w:rPr>
              <w:t>Inleiding</w:t>
              <w:tab/>
              <w:t>3</w:t>
            </w:r>
            <w:r>
              <w:rPr>
                <w:webHidden/>
              </w:rPr>
              <w:fldChar w:fldCharType="end"/>
            </w:r>
          </w:hyperlink>
        </w:p>
        <w:p>
          <w:pPr>
            <w:pStyle w:val="Inhoudsopgave2"/>
            <w:tabs>
              <w:tab w:val="left" w:pos="880" w:leader="none"/>
              <w:tab w:val="right" w:pos="9355" w:leader="dot"/>
            </w:tabs>
            <w:rPr>
              <w:rFonts w:ascii="Calibri" w:hAnsi="Calibri" w:eastAsia="" w:cs="" w:asciiTheme="minorHAnsi" w:cstheme="minorBidi" w:eastAsiaTheme="minorEastAsia" w:hAnsiTheme="minorHAnsi"/>
              <w:kern w:val="0"/>
              <w:sz w:val="22"/>
              <w:szCs w:val="22"/>
              <w:lang w:eastAsia="nl-NL" w:bidi="ar-SA"/>
            </w:rPr>
          </w:pPr>
          <w:hyperlink w:anchor="_Toc524688262">
            <w:r>
              <w:rPr>
                <w:rStyle w:val="Indexkoppeling"/>
              </w:rPr>
              <w:t>2.1</w:t>
            </w:r>
            <w:r>
              <w:rPr>
                <w:rStyle w:val="Indexkoppeling"/>
                <w:rFonts w:eastAsia="" w:cs="" w:ascii="Calibri" w:hAnsi="Calibri" w:asciiTheme="minorHAnsi" w:cstheme="minorBidi" w:eastAsiaTheme="minorEastAsia" w:hAnsiTheme="minorHAnsi"/>
                <w:kern w:val="0"/>
                <w:sz w:val="22"/>
                <w:szCs w:val="22"/>
                <w:lang w:eastAsia="nl-NL" w:bidi="ar-SA"/>
              </w:rPr>
              <w:tab/>
            </w:r>
            <w:r>
              <w:rPr>
                <w:webHidden/>
              </w:rPr>
              <w:fldChar w:fldCharType="begin"/>
            </w:r>
            <w:r>
              <w:rPr>
                <w:webHidden/>
              </w:rPr>
              <w:instrText>PAGEREF _Toc524688262 \h</w:instrText>
            </w:r>
            <w:r>
              <w:rPr>
                <w:webHidden/>
              </w:rPr>
              <w:fldChar w:fldCharType="separate"/>
            </w:r>
            <w:r>
              <w:rPr>
                <w:rStyle w:val="Indexkoppeling"/>
              </w:rPr>
              <w:t>Opzet van het document</w:t>
              <w:tab/>
              <w:t>3</w:t>
            </w:r>
            <w:r>
              <w:rPr>
                <w:webHidden/>
              </w:rPr>
              <w:fldChar w:fldCharType="end"/>
            </w:r>
          </w:hyperlink>
        </w:p>
        <w:p>
          <w:pPr>
            <w:pStyle w:val="Inhoudsopgave1"/>
            <w:tabs>
              <w:tab w:val="left" w:pos="566" w:leader="none"/>
              <w:tab w:val="right" w:pos="9638" w:leader="dot"/>
            </w:tabs>
            <w:rPr>
              <w:rFonts w:ascii="Calibri" w:hAnsi="Calibri" w:eastAsia="" w:cs="" w:asciiTheme="minorHAnsi" w:cstheme="minorBidi" w:eastAsiaTheme="minorEastAsia" w:hAnsiTheme="minorHAnsi"/>
              <w:kern w:val="0"/>
              <w:sz w:val="22"/>
              <w:szCs w:val="22"/>
              <w:lang w:eastAsia="nl-NL" w:bidi="ar-SA"/>
            </w:rPr>
          </w:pPr>
          <w:hyperlink w:anchor="_Toc524688263">
            <w:r>
              <w:rPr>
                <w:rStyle w:val="Indexkoppeling"/>
              </w:rPr>
              <w:t>3</w:t>
            </w:r>
            <w:r>
              <w:rPr>
                <w:rStyle w:val="Indexkoppeling"/>
                <w:rFonts w:eastAsia="" w:cs="" w:ascii="Calibri" w:hAnsi="Calibri" w:asciiTheme="minorHAnsi" w:cstheme="minorBidi" w:eastAsiaTheme="minorEastAsia" w:hAnsiTheme="minorHAnsi"/>
                <w:kern w:val="0"/>
                <w:sz w:val="22"/>
                <w:szCs w:val="22"/>
                <w:lang w:eastAsia="nl-NL" w:bidi="ar-SA"/>
              </w:rPr>
              <w:tab/>
            </w:r>
            <w:r>
              <w:rPr>
                <w:webHidden/>
              </w:rPr>
              <w:fldChar w:fldCharType="begin"/>
            </w:r>
            <w:r>
              <w:rPr>
                <w:webHidden/>
              </w:rPr>
              <w:instrText>PAGEREF _Toc524688263 \h</w:instrText>
            </w:r>
            <w:r>
              <w:rPr>
                <w:webHidden/>
              </w:rPr>
              <w:fldChar w:fldCharType="separate"/>
            </w:r>
            <w:r>
              <w:rPr>
                <w:rStyle w:val="Indexkoppeling"/>
              </w:rPr>
              <w:t>Context</w:t>
              <w:tab/>
              <w:t>4</w:t>
            </w:r>
            <w:r>
              <w:rPr>
                <w:webHidden/>
              </w:rPr>
              <w:fldChar w:fldCharType="end"/>
            </w:r>
          </w:hyperlink>
        </w:p>
        <w:p>
          <w:pPr>
            <w:pStyle w:val="Inhoudsopgave2"/>
            <w:tabs>
              <w:tab w:val="left" w:pos="880" w:leader="none"/>
              <w:tab w:val="right" w:pos="9355" w:leader="dot"/>
            </w:tabs>
            <w:rPr>
              <w:rFonts w:ascii="Calibri" w:hAnsi="Calibri" w:eastAsia="" w:cs="" w:asciiTheme="minorHAnsi" w:cstheme="minorBidi" w:eastAsiaTheme="minorEastAsia" w:hAnsiTheme="minorHAnsi"/>
              <w:kern w:val="0"/>
              <w:sz w:val="22"/>
              <w:szCs w:val="22"/>
              <w:lang w:eastAsia="nl-NL" w:bidi="ar-SA"/>
            </w:rPr>
          </w:pPr>
          <w:hyperlink w:anchor="_Toc524688264">
            <w:r>
              <w:rPr>
                <w:rStyle w:val="Indexkoppeling"/>
              </w:rPr>
              <w:t>3.1</w:t>
            </w:r>
            <w:r>
              <w:rPr>
                <w:rStyle w:val="Indexkoppeling"/>
                <w:rFonts w:eastAsia="" w:cs="" w:ascii="Calibri" w:hAnsi="Calibri" w:asciiTheme="minorHAnsi" w:cstheme="minorBidi" w:eastAsiaTheme="minorEastAsia" w:hAnsiTheme="minorHAnsi"/>
                <w:kern w:val="0"/>
                <w:sz w:val="22"/>
                <w:szCs w:val="22"/>
                <w:lang w:eastAsia="nl-NL" w:bidi="ar-SA"/>
              </w:rPr>
              <w:tab/>
            </w:r>
            <w:r>
              <w:rPr>
                <w:webHidden/>
              </w:rPr>
              <w:fldChar w:fldCharType="begin"/>
            </w:r>
            <w:r>
              <w:rPr>
                <w:webHidden/>
              </w:rPr>
              <w:instrText>PAGEREF _Toc524688264 \h</w:instrText>
            </w:r>
            <w:r>
              <w:rPr>
                <w:webHidden/>
              </w:rPr>
              <w:fldChar w:fldCharType="separate"/>
            </w:r>
            <w:r>
              <w:rPr>
                <w:rStyle w:val="Indexkoppeling"/>
              </w:rPr>
              <w:t>Wat is Facet</w:t>
              <w:tab/>
              <w:t>4</w:t>
            </w:r>
            <w:r>
              <w:rPr>
                <w:webHidden/>
              </w:rPr>
              <w:fldChar w:fldCharType="end"/>
            </w:r>
          </w:hyperlink>
        </w:p>
        <w:p>
          <w:pPr>
            <w:pStyle w:val="Inhoudsopgave2"/>
            <w:tabs>
              <w:tab w:val="left" w:pos="880" w:leader="none"/>
              <w:tab w:val="right" w:pos="9355" w:leader="dot"/>
            </w:tabs>
            <w:rPr>
              <w:rFonts w:ascii="Calibri" w:hAnsi="Calibri" w:eastAsia="" w:cs="" w:asciiTheme="minorHAnsi" w:cstheme="minorBidi" w:eastAsiaTheme="minorEastAsia" w:hAnsiTheme="minorHAnsi"/>
              <w:kern w:val="0"/>
              <w:sz w:val="22"/>
              <w:szCs w:val="22"/>
              <w:lang w:eastAsia="nl-NL" w:bidi="ar-SA"/>
            </w:rPr>
          </w:pPr>
          <w:hyperlink w:anchor="_Toc524688265">
            <w:r>
              <w:rPr>
                <w:rStyle w:val="Indexkoppeling"/>
              </w:rPr>
              <w:t>3.2</w:t>
            </w:r>
            <w:r>
              <w:rPr>
                <w:rStyle w:val="Indexkoppeling"/>
                <w:rFonts w:eastAsia="" w:cs="" w:ascii="Calibri" w:hAnsi="Calibri" w:asciiTheme="minorHAnsi" w:cstheme="minorBidi" w:eastAsiaTheme="minorEastAsia" w:hAnsiTheme="minorHAnsi"/>
                <w:kern w:val="0"/>
                <w:sz w:val="22"/>
                <w:szCs w:val="22"/>
                <w:lang w:eastAsia="nl-NL" w:bidi="ar-SA"/>
              </w:rPr>
              <w:tab/>
            </w:r>
            <w:r>
              <w:rPr>
                <w:webHidden/>
              </w:rPr>
              <w:fldChar w:fldCharType="begin"/>
            </w:r>
            <w:r>
              <w:rPr>
                <w:webHidden/>
              </w:rPr>
              <w:instrText>PAGEREF _Toc524688265 \h</w:instrText>
            </w:r>
            <w:r>
              <w:rPr>
                <w:webHidden/>
              </w:rPr>
              <w:fldChar w:fldCharType="separate"/>
            </w:r>
            <w:r>
              <w:rPr>
                <w:rStyle w:val="Indexkoppeling"/>
              </w:rPr>
              <w:t>Facet geplot op het ROSA ketenproces</w:t>
              <w:tab/>
              <w:t>4</w:t>
            </w:r>
            <w:r>
              <w:rPr>
                <w:webHidden/>
              </w:rPr>
              <w:fldChar w:fldCharType="end"/>
            </w:r>
          </w:hyperlink>
        </w:p>
        <w:p>
          <w:pPr>
            <w:pStyle w:val="Inhoudsopgave2"/>
            <w:tabs>
              <w:tab w:val="left" w:pos="880" w:leader="none"/>
              <w:tab w:val="right" w:pos="9355" w:leader="dot"/>
            </w:tabs>
            <w:rPr>
              <w:rFonts w:ascii="Calibri" w:hAnsi="Calibri" w:eastAsia="" w:cs="" w:asciiTheme="minorHAnsi" w:cstheme="minorBidi" w:eastAsiaTheme="minorEastAsia" w:hAnsiTheme="minorHAnsi"/>
              <w:kern w:val="0"/>
              <w:sz w:val="22"/>
              <w:szCs w:val="22"/>
              <w:lang w:eastAsia="nl-NL" w:bidi="ar-SA"/>
            </w:rPr>
          </w:pPr>
          <w:hyperlink w:anchor="_Toc524688266">
            <w:r>
              <w:rPr>
                <w:rStyle w:val="Indexkoppeling"/>
              </w:rPr>
              <w:t>3.3</w:t>
            </w:r>
            <w:r>
              <w:rPr>
                <w:rStyle w:val="Indexkoppeling"/>
                <w:rFonts w:eastAsia="" w:cs="" w:ascii="Calibri" w:hAnsi="Calibri" w:asciiTheme="minorHAnsi" w:cstheme="minorBidi" w:eastAsiaTheme="minorEastAsia" w:hAnsiTheme="minorHAnsi"/>
                <w:kern w:val="0"/>
                <w:sz w:val="22"/>
                <w:szCs w:val="22"/>
                <w:lang w:eastAsia="nl-NL" w:bidi="ar-SA"/>
              </w:rPr>
              <w:tab/>
            </w:r>
            <w:r>
              <w:rPr>
                <w:webHidden/>
              </w:rPr>
              <w:fldChar w:fldCharType="begin"/>
            </w:r>
            <w:r>
              <w:rPr>
                <w:webHidden/>
              </w:rPr>
              <w:instrText>PAGEREF _Toc524688266 \h</w:instrText>
            </w:r>
            <w:r>
              <w:rPr>
                <w:webHidden/>
              </w:rPr>
              <w:fldChar w:fldCharType="separate"/>
            </w:r>
            <w:r>
              <w:rPr>
                <w:rStyle w:val="Indexkoppeling"/>
              </w:rPr>
              <w:t>De Facet applicatiecomponenten</w:t>
              <w:tab/>
              <w:t>5</w:t>
            </w:r>
            <w:r>
              <w:rPr>
                <w:webHidden/>
              </w:rPr>
              <w:fldChar w:fldCharType="end"/>
            </w:r>
          </w:hyperlink>
        </w:p>
        <w:p>
          <w:pPr>
            <w:pStyle w:val="Inhoudsopgave2"/>
            <w:tabs>
              <w:tab w:val="left" w:pos="880" w:leader="none"/>
              <w:tab w:val="right" w:pos="9355" w:leader="dot"/>
            </w:tabs>
            <w:rPr>
              <w:rFonts w:ascii="Calibri" w:hAnsi="Calibri" w:eastAsia="" w:cs="" w:asciiTheme="minorHAnsi" w:cstheme="minorBidi" w:eastAsiaTheme="minorEastAsia" w:hAnsiTheme="minorHAnsi"/>
              <w:kern w:val="0"/>
              <w:sz w:val="22"/>
              <w:szCs w:val="22"/>
              <w:lang w:eastAsia="nl-NL" w:bidi="ar-SA"/>
            </w:rPr>
          </w:pPr>
          <w:hyperlink w:anchor="_Toc524688267">
            <w:r>
              <w:rPr>
                <w:rStyle w:val="Indexkoppeling"/>
              </w:rPr>
              <w:t>3.4</w:t>
            </w:r>
            <w:r>
              <w:rPr>
                <w:rStyle w:val="Indexkoppeling"/>
                <w:rFonts w:eastAsia="" w:cs="" w:ascii="Calibri" w:hAnsi="Calibri" w:asciiTheme="minorHAnsi" w:cstheme="minorBidi" w:eastAsiaTheme="minorEastAsia" w:hAnsiTheme="minorHAnsi"/>
                <w:kern w:val="0"/>
                <w:sz w:val="22"/>
                <w:szCs w:val="22"/>
                <w:lang w:eastAsia="nl-NL" w:bidi="ar-SA"/>
              </w:rPr>
              <w:tab/>
            </w:r>
            <w:r>
              <w:rPr>
                <w:webHidden/>
              </w:rPr>
              <w:fldChar w:fldCharType="begin"/>
            </w:r>
            <w:r>
              <w:rPr>
                <w:webHidden/>
              </w:rPr>
              <w:instrText>PAGEREF _Toc524688267 \h</w:instrText>
            </w:r>
            <w:r>
              <w:rPr>
                <w:webHidden/>
              </w:rPr>
              <w:fldChar w:fldCharType="separate"/>
            </w:r>
            <w:r>
              <w:rPr>
                <w:rStyle w:val="Indexkoppeling"/>
              </w:rPr>
              <w:t>Generieke infrastructuur</w:t>
              <w:tab/>
              <w:t>6</w:t>
            </w:r>
            <w:r>
              <w:rPr>
                <w:webHidden/>
              </w:rPr>
              <w:fldChar w:fldCharType="end"/>
            </w:r>
          </w:hyperlink>
        </w:p>
        <w:p>
          <w:pPr>
            <w:pStyle w:val="Inhoudsopgave1"/>
            <w:tabs>
              <w:tab w:val="left" w:pos="566" w:leader="none"/>
              <w:tab w:val="right" w:pos="9638" w:leader="dot"/>
            </w:tabs>
            <w:rPr>
              <w:rFonts w:ascii="Calibri" w:hAnsi="Calibri" w:eastAsia="" w:cs="" w:asciiTheme="minorHAnsi" w:cstheme="minorBidi" w:eastAsiaTheme="minorEastAsia" w:hAnsiTheme="minorHAnsi"/>
              <w:kern w:val="0"/>
              <w:sz w:val="22"/>
              <w:szCs w:val="22"/>
              <w:lang w:eastAsia="nl-NL" w:bidi="ar-SA"/>
            </w:rPr>
          </w:pPr>
          <w:hyperlink w:anchor="_Toc524688268">
            <w:r>
              <w:rPr>
                <w:rStyle w:val="Indexkoppeling"/>
              </w:rPr>
              <w:t>4</w:t>
            </w:r>
            <w:r>
              <w:rPr>
                <w:rStyle w:val="Indexkoppeling"/>
                <w:rFonts w:eastAsia="" w:cs="" w:ascii="Calibri" w:hAnsi="Calibri" w:asciiTheme="minorHAnsi" w:cstheme="minorBidi" w:eastAsiaTheme="minorEastAsia" w:hAnsiTheme="minorHAnsi"/>
                <w:kern w:val="0"/>
                <w:sz w:val="22"/>
                <w:szCs w:val="22"/>
                <w:lang w:eastAsia="nl-NL" w:bidi="ar-SA"/>
              </w:rPr>
              <w:tab/>
            </w:r>
            <w:r>
              <w:rPr>
                <w:webHidden/>
              </w:rPr>
              <w:fldChar w:fldCharType="begin"/>
            </w:r>
            <w:r>
              <w:rPr>
                <w:webHidden/>
              </w:rPr>
              <w:instrText>PAGEREF _Toc524688268 \h</w:instrText>
            </w:r>
            <w:r>
              <w:rPr>
                <w:webHidden/>
              </w:rPr>
              <w:fldChar w:fldCharType="separate"/>
            </w:r>
            <w:r>
              <w:rPr>
                <w:rStyle w:val="Indexkoppeling"/>
              </w:rPr>
              <w:t>Basisprincipes</w:t>
              <w:tab/>
              <w:t>7</w:t>
            </w:r>
            <w:r>
              <w:rPr>
                <w:webHidden/>
              </w:rPr>
              <w:fldChar w:fldCharType="end"/>
            </w:r>
          </w:hyperlink>
        </w:p>
        <w:p>
          <w:pPr>
            <w:pStyle w:val="Inhoudsopgave1"/>
            <w:tabs>
              <w:tab w:val="left" w:pos="566" w:leader="none"/>
              <w:tab w:val="right" w:pos="9638" w:leader="dot"/>
            </w:tabs>
            <w:rPr>
              <w:rFonts w:ascii="Calibri" w:hAnsi="Calibri" w:eastAsia="" w:cs="" w:asciiTheme="minorHAnsi" w:cstheme="minorBidi" w:eastAsiaTheme="minorEastAsia" w:hAnsiTheme="minorHAnsi"/>
              <w:kern w:val="0"/>
              <w:sz w:val="22"/>
              <w:szCs w:val="22"/>
              <w:lang w:eastAsia="nl-NL" w:bidi="ar-SA"/>
            </w:rPr>
          </w:pPr>
          <w:hyperlink w:anchor="_Toc524688269">
            <w:r>
              <w:rPr>
                <w:rStyle w:val="Indexkoppeling"/>
              </w:rPr>
              <w:t>5</w:t>
            </w:r>
            <w:r>
              <w:rPr>
                <w:rStyle w:val="Indexkoppeling"/>
                <w:rFonts w:eastAsia="" w:cs="" w:ascii="Calibri" w:hAnsi="Calibri" w:asciiTheme="minorHAnsi" w:cstheme="minorBidi" w:eastAsiaTheme="minorEastAsia" w:hAnsiTheme="minorHAnsi"/>
                <w:kern w:val="0"/>
                <w:sz w:val="22"/>
                <w:szCs w:val="22"/>
                <w:lang w:eastAsia="nl-NL" w:bidi="ar-SA"/>
              </w:rPr>
              <w:tab/>
            </w:r>
            <w:r>
              <w:rPr>
                <w:webHidden/>
              </w:rPr>
              <w:fldChar w:fldCharType="begin"/>
            </w:r>
            <w:r>
              <w:rPr>
                <w:webHidden/>
              </w:rPr>
              <w:instrText>PAGEREF _Toc524688269 \h</w:instrText>
            </w:r>
            <w:r>
              <w:rPr>
                <w:webHidden/>
              </w:rPr>
              <w:fldChar w:fldCharType="separate"/>
            </w:r>
            <w:r>
              <w:rPr>
                <w:rStyle w:val="Indexkoppeling"/>
              </w:rPr>
              <w:t>Analyse van de processtappen</w:t>
              <w:tab/>
              <w:t>11</w:t>
            </w:r>
            <w:r>
              <w:rPr>
                <w:webHidden/>
              </w:rPr>
              <w:fldChar w:fldCharType="end"/>
            </w:r>
          </w:hyperlink>
        </w:p>
        <w:p>
          <w:pPr>
            <w:pStyle w:val="Inhoudsopgave2"/>
            <w:tabs>
              <w:tab w:val="left" w:pos="880" w:leader="none"/>
              <w:tab w:val="right" w:pos="9355" w:leader="dot"/>
            </w:tabs>
            <w:rPr>
              <w:rFonts w:ascii="Calibri" w:hAnsi="Calibri" w:eastAsia="" w:cs="" w:asciiTheme="minorHAnsi" w:cstheme="minorBidi" w:eastAsiaTheme="minorEastAsia" w:hAnsiTheme="minorHAnsi"/>
              <w:kern w:val="0"/>
              <w:sz w:val="22"/>
              <w:szCs w:val="22"/>
              <w:lang w:eastAsia="nl-NL" w:bidi="ar-SA"/>
            </w:rPr>
          </w:pPr>
          <w:hyperlink w:anchor="_Toc524688270">
            <w:r>
              <w:rPr>
                <w:rStyle w:val="Indexkoppeling"/>
              </w:rPr>
              <w:t>5.2</w:t>
            </w:r>
            <w:r>
              <w:rPr>
                <w:rStyle w:val="Indexkoppeling"/>
                <w:rFonts w:eastAsia="" w:cs="" w:ascii="Calibri" w:hAnsi="Calibri" w:asciiTheme="minorHAnsi" w:cstheme="minorBidi" w:eastAsiaTheme="minorEastAsia" w:hAnsiTheme="minorHAnsi"/>
                <w:kern w:val="0"/>
                <w:sz w:val="22"/>
                <w:szCs w:val="22"/>
                <w:lang w:eastAsia="nl-NL" w:bidi="ar-SA"/>
              </w:rPr>
              <w:tab/>
            </w:r>
            <w:r>
              <w:rPr>
                <w:webHidden/>
              </w:rPr>
              <w:fldChar w:fldCharType="begin"/>
            </w:r>
            <w:r>
              <w:rPr>
                <w:webHidden/>
              </w:rPr>
              <w:instrText>PAGEREF _Toc524688270 \h</w:instrText>
            </w:r>
            <w:r>
              <w:rPr>
                <w:webHidden/>
              </w:rPr>
              <w:fldChar w:fldCharType="separate"/>
            </w:r>
            <w:r>
              <w:rPr>
                <w:rStyle w:val="Indexkoppeling"/>
              </w:rPr>
              <w:t>Het construeren en vaststellen van toetsen en examens</w:t>
              <w:tab/>
              <w:t>12</w:t>
            </w:r>
            <w:r>
              <w:rPr>
                <w:webHidden/>
              </w:rPr>
              <w:fldChar w:fldCharType="end"/>
            </w:r>
          </w:hyperlink>
        </w:p>
        <w:p>
          <w:pPr>
            <w:pStyle w:val="Inhoudsopgave2"/>
            <w:tabs>
              <w:tab w:val="left" w:pos="880" w:leader="none"/>
              <w:tab w:val="right" w:pos="9355" w:leader="dot"/>
            </w:tabs>
            <w:rPr>
              <w:rFonts w:ascii="Calibri" w:hAnsi="Calibri" w:eastAsia="" w:cs="" w:asciiTheme="minorHAnsi" w:cstheme="minorBidi" w:eastAsiaTheme="minorEastAsia" w:hAnsiTheme="minorHAnsi"/>
              <w:kern w:val="0"/>
              <w:sz w:val="22"/>
              <w:szCs w:val="22"/>
              <w:lang w:eastAsia="nl-NL" w:bidi="ar-SA"/>
            </w:rPr>
          </w:pPr>
          <w:hyperlink w:anchor="_Toc524688271">
            <w:r>
              <w:rPr>
                <w:rStyle w:val="Indexkoppeling"/>
              </w:rPr>
              <w:t>5.3</w:t>
            </w:r>
            <w:r>
              <w:rPr>
                <w:rStyle w:val="Indexkoppeling"/>
                <w:rFonts w:eastAsia="" w:cs="" w:ascii="Calibri" w:hAnsi="Calibri" w:asciiTheme="minorHAnsi" w:cstheme="minorBidi" w:eastAsiaTheme="minorEastAsia" w:hAnsiTheme="minorHAnsi"/>
                <w:kern w:val="0"/>
                <w:sz w:val="22"/>
                <w:szCs w:val="22"/>
                <w:lang w:eastAsia="nl-NL" w:bidi="ar-SA"/>
              </w:rPr>
              <w:tab/>
            </w:r>
            <w:r>
              <w:rPr>
                <w:webHidden/>
              </w:rPr>
              <w:fldChar w:fldCharType="begin"/>
            </w:r>
            <w:r>
              <w:rPr>
                <w:webHidden/>
              </w:rPr>
              <w:instrText>PAGEREF _Toc524688271 \h</w:instrText>
            </w:r>
            <w:r>
              <w:rPr>
                <w:webHidden/>
              </w:rPr>
              <w:fldChar w:fldCharType="separate"/>
            </w:r>
            <w:r>
              <w:rPr>
                <w:rStyle w:val="Indexkoppeling"/>
              </w:rPr>
              <w:t>Het plannen van een afname</w:t>
              <w:tab/>
              <w:t>14</w:t>
            </w:r>
            <w:r>
              <w:rPr>
                <w:webHidden/>
              </w:rPr>
              <w:fldChar w:fldCharType="end"/>
            </w:r>
          </w:hyperlink>
        </w:p>
        <w:p>
          <w:pPr>
            <w:pStyle w:val="Inhoudsopgave2"/>
            <w:tabs>
              <w:tab w:val="left" w:pos="880" w:leader="none"/>
              <w:tab w:val="right" w:pos="9355" w:leader="dot"/>
            </w:tabs>
            <w:rPr>
              <w:rFonts w:ascii="Calibri" w:hAnsi="Calibri" w:eastAsia="" w:cs="" w:asciiTheme="minorHAnsi" w:cstheme="minorBidi" w:eastAsiaTheme="minorEastAsia" w:hAnsiTheme="minorHAnsi"/>
              <w:kern w:val="0"/>
              <w:sz w:val="22"/>
              <w:szCs w:val="22"/>
              <w:lang w:eastAsia="nl-NL" w:bidi="ar-SA"/>
            </w:rPr>
          </w:pPr>
          <w:hyperlink w:anchor="_Toc524688272">
            <w:r>
              <w:rPr>
                <w:rStyle w:val="Indexkoppeling"/>
              </w:rPr>
              <w:t>5.4</w:t>
            </w:r>
            <w:r>
              <w:rPr>
                <w:rStyle w:val="Indexkoppeling"/>
                <w:rFonts w:eastAsia="" w:cs="" w:ascii="Calibri" w:hAnsi="Calibri" w:asciiTheme="minorHAnsi" w:cstheme="minorBidi" w:eastAsiaTheme="minorEastAsia" w:hAnsiTheme="minorHAnsi"/>
                <w:kern w:val="0"/>
                <w:sz w:val="22"/>
                <w:szCs w:val="22"/>
                <w:lang w:eastAsia="nl-NL" w:bidi="ar-SA"/>
              </w:rPr>
              <w:tab/>
            </w:r>
            <w:r>
              <w:rPr>
                <w:webHidden/>
              </w:rPr>
              <w:fldChar w:fldCharType="begin"/>
            </w:r>
            <w:r>
              <w:rPr>
                <w:webHidden/>
              </w:rPr>
              <w:instrText>PAGEREF _Toc524688272 \h</w:instrText>
            </w:r>
            <w:r>
              <w:rPr>
                <w:webHidden/>
              </w:rPr>
              <w:fldChar w:fldCharType="separate"/>
            </w:r>
            <w:r>
              <w:rPr>
                <w:rStyle w:val="Indexkoppeling"/>
              </w:rPr>
              <w:t>Het afnemen van een toets of examen</w:t>
              <w:tab/>
              <w:t>15</w:t>
            </w:r>
            <w:r>
              <w:rPr>
                <w:webHidden/>
              </w:rPr>
              <w:fldChar w:fldCharType="end"/>
            </w:r>
          </w:hyperlink>
        </w:p>
        <w:p>
          <w:pPr>
            <w:pStyle w:val="Inhoudsopgave2"/>
            <w:tabs>
              <w:tab w:val="left" w:pos="880" w:leader="none"/>
              <w:tab w:val="right" w:pos="9355" w:leader="dot"/>
            </w:tabs>
            <w:rPr>
              <w:rFonts w:ascii="Calibri" w:hAnsi="Calibri" w:eastAsia="" w:cs="" w:asciiTheme="minorHAnsi" w:cstheme="minorBidi" w:eastAsiaTheme="minorEastAsia" w:hAnsiTheme="minorHAnsi"/>
              <w:kern w:val="0"/>
              <w:sz w:val="22"/>
              <w:szCs w:val="22"/>
              <w:lang w:eastAsia="nl-NL" w:bidi="ar-SA"/>
            </w:rPr>
          </w:pPr>
          <w:hyperlink w:anchor="_Toc524688273">
            <w:r>
              <w:rPr>
                <w:rStyle w:val="Indexkoppeling"/>
              </w:rPr>
              <w:t>5.5</w:t>
            </w:r>
            <w:r>
              <w:rPr>
                <w:rStyle w:val="Indexkoppeling"/>
                <w:rFonts w:eastAsia="" w:cs="" w:ascii="Calibri" w:hAnsi="Calibri" w:asciiTheme="minorHAnsi" w:cstheme="minorBidi" w:eastAsiaTheme="minorEastAsia" w:hAnsiTheme="minorHAnsi"/>
                <w:kern w:val="0"/>
                <w:sz w:val="22"/>
                <w:szCs w:val="22"/>
                <w:lang w:eastAsia="nl-NL" w:bidi="ar-SA"/>
              </w:rPr>
              <w:tab/>
            </w:r>
            <w:r>
              <w:rPr>
                <w:webHidden/>
              </w:rPr>
              <w:fldChar w:fldCharType="begin"/>
            </w:r>
            <w:r>
              <w:rPr>
                <w:webHidden/>
              </w:rPr>
              <w:instrText>PAGEREF _Toc524688273 \h</w:instrText>
            </w:r>
            <w:r>
              <w:rPr>
                <w:webHidden/>
              </w:rPr>
              <w:fldChar w:fldCharType="separate"/>
            </w:r>
            <w:r>
              <w:rPr>
                <w:rStyle w:val="Indexkoppeling"/>
              </w:rPr>
              <w:t>Analyseren van de afname(resultaten)</w:t>
              <w:tab/>
              <w:t>18</w:t>
            </w:r>
            <w:r>
              <w:rPr>
                <w:webHidden/>
              </w:rPr>
              <w:fldChar w:fldCharType="end"/>
            </w:r>
          </w:hyperlink>
        </w:p>
        <w:p>
          <w:pPr>
            <w:pStyle w:val="Inhoudsopgave2"/>
            <w:tabs>
              <w:tab w:val="left" w:pos="880" w:leader="none"/>
              <w:tab w:val="right" w:pos="9355" w:leader="dot"/>
            </w:tabs>
            <w:rPr>
              <w:rFonts w:ascii="Calibri" w:hAnsi="Calibri" w:eastAsia="" w:cs="" w:asciiTheme="minorHAnsi" w:cstheme="minorBidi" w:eastAsiaTheme="minorEastAsia" w:hAnsiTheme="minorHAnsi"/>
              <w:kern w:val="0"/>
              <w:sz w:val="22"/>
              <w:szCs w:val="22"/>
              <w:lang w:eastAsia="nl-NL" w:bidi="ar-SA"/>
            </w:rPr>
          </w:pPr>
          <w:hyperlink w:anchor="_Toc524688274">
            <w:r>
              <w:rPr>
                <w:rStyle w:val="Indexkoppeling"/>
              </w:rPr>
              <w:t>5.6</w:t>
            </w:r>
            <w:r>
              <w:rPr>
                <w:rStyle w:val="Indexkoppeling"/>
                <w:rFonts w:eastAsia="" w:cs="" w:ascii="Calibri" w:hAnsi="Calibri" w:asciiTheme="minorHAnsi" w:cstheme="minorBidi" w:eastAsiaTheme="minorEastAsia" w:hAnsiTheme="minorHAnsi"/>
                <w:kern w:val="0"/>
                <w:sz w:val="22"/>
                <w:szCs w:val="22"/>
                <w:lang w:eastAsia="nl-NL" w:bidi="ar-SA"/>
              </w:rPr>
              <w:tab/>
            </w:r>
            <w:r>
              <w:rPr>
                <w:webHidden/>
              </w:rPr>
              <w:fldChar w:fldCharType="begin"/>
            </w:r>
            <w:r>
              <w:rPr>
                <w:webHidden/>
              </w:rPr>
              <w:instrText>PAGEREF _Toc524688274 \h</w:instrText>
            </w:r>
            <w:r>
              <w:rPr>
                <w:webHidden/>
              </w:rPr>
              <w:fldChar w:fldCharType="separate"/>
            </w:r>
            <w:r>
              <w:rPr>
                <w:rStyle w:val="Indexkoppeling"/>
              </w:rPr>
              <w:t>Rapporteren over de afname(resultaten)</w:t>
              <w:tab/>
              <w:t>20</w:t>
            </w:r>
            <w:r>
              <w:rPr>
                <w:webHidden/>
              </w:rPr>
              <w:fldChar w:fldCharType="end"/>
            </w:r>
          </w:hyperlink>
        </w:p>
        <w:p>
          <w:pPr>
            <w:pStyle w:val="Inhoudsopgave1"/>
            <w:tabs>
              <w:tab w:val="left" w:pos="566" w:leader="none"/>
              <w:tab w:val="right" w:pos="9638" w:leader="dot"/>
            </w:tabs>
            <w:rPr>
              <w:rFonts w:ascii="Calibri" w:hAnsi="Calibri" w:eastAsia="" w:cs="" w:asciiTheme="minorHAnsi" w:cstheme="minorBidi" w:eastAsiaTheme="minorEastAsia" w:hAnsiTheme="minorHAnsi"/>
              <w:kern w:val="0"/>
              <w:sz w:val="22"/>
              <w:szCs w:val="22"/>
              <w:lang w:eastAsia="nl-NL" w:bidi="ar-SA"/>
            </w:rPr>
          </w:pPr>
          <w:hyperlink w:anchor="_Toc524688275">
            <w:r>
              <w:rPr>
                <w:rStyle w:val="Indexkoppeling"/>
              </w:rPr>
              <w:t>6</w:t>
            </w:r>
            <w:r>
              <w:rPr>
                <w:rStyle w:val="Indexkoppeling"/>
                <w:rFonts w:eastAsia="" w:cs="" w:ascii="Calibri" w:hAnsi="Calibri" w:asciiTheme="minorHAnsi" w:cstheme="minorBidi" w:eastAsiaTheme="minorEastAsia" w:hAnsiTheme="minorHAnsi"/>
                <w:kern w:val="0"/>
                <w:sz w:val="22"/>
                <w:szCs w:val="22"/>
                <w:lang w:eastAsia="nl-NL" w:bidi="ar-SA"/>
              </w:rPr>
              <w:tab/>
            </w:r>
            <w:r>
              <w:rPr>
                <w:webHidden/>
              </w:rPr>
              <w:fldChar w:fldCharType="begin"/>
            </w:r>
            <w:r>
              <w:rPr>
                <w:webHidden/>
              </w:rPr>
              <w:instrText>PAGEREF _Toc524688275 \h</w:instrText>
            </w:r>
            <w:r>
              <w:rPr>
                <w:webHidden/>
              </w:rPr>
              <w:fldChar w:fldCharType="separate"/>
            </w:r>
            <w:r>
              <w:rPr>
                <w:rStyle w:val="Indexkoppeling"/>
              </w:rPr>
              <w:t>Conclusie en aanbevelingen</w:t>
              <w:tab/>
              <w:t>22</w:t>
            </w:r>
            <w:r>
              <w:rPr>
                <w:webHidden/>
              </w:rPr>
              <w:fldChar w:fldCharType="end"/>
            </w:r>
          </w:hyperlink>
        </w:p>
        <w:p>
          <w:pPr>
            <w:pStyle w:val="Inhoudsopgave2"/>
            <w:tabs>
              <w:tab w:val="left" w:pos="880" w:leader="none"/>
              <w:tab w:val="right" w:pos="9355" w:leader="dot"/>
            </w:tabs>
            <w:rPr>
              <w:rFonts w:ascii="Calibri" w:hAnsi="Calibri" w:eastAsia="" w:cs="" w:asciiTheme="minorHAnsi" w:cstheme="minorBidi" w:eastAsiaTheme="minorEastAsia" w:hAnsiTheme="minorHAnsi"/>
              <w:kern w:val="0"/>
              <w:sz w:val="22"/>
              <w:szCs w:val="22"/>
              <w:lang w:eastAsia="nl-NL" w:bidi="ar-SA"/>
            </w:rPr>
          </w:pPr>
          <w:hyperlink w:anchor="_Toc524688276">
            <w:r>
              <w:rPr>
                <w:rStyle w:val="Indexkoppeling"/>
              </w:rPr>
              <w:t>6.1</w:t>
            </w:r>
            <w:r>
              <w:rPr>
                <w:rStyle w:val="Indexkoppeling"/>
                <w:rFonts w:eastAsia="" w:cs="" w:ascii="Calibri" w:hAnsi="Calibri" w:asciiTheme="minorHAnsi" w:cstheme="minorBidi" w:eastAsiaTheme="minorEastAsia" w:hAnsiTheme="minorHAnsi"/>
                <w:kern w:val="0"/>
                <w:sz w:val="22"/>
                <w:szCs w:val="22"/>
                <w:lang w:eastAsia="nl-NL" w:bidi="ar-SA"/>
              </w:rPr>
              <w:tab/>
            </w:r>
            <w:r>
              <w:rPr>
                <w:webHidden/>
              </w:rPr>
              <w:fldChar w:fldCharType="begin"/>
            </w:r>
            <w:r>
              <w:rPr>
                <w:webHidden/>
              </w:rPr>
              <w:instrText>PAGEREF _Toc524688276 \h</w:instrText>
            </w:r>
            <w:r>
              <w:rPr>
                <w:webHidden/>
              </w:rPr>
              <w:fldChar w:fldCharType="separate"/>
            </w:r>
            <w:r>
              <w:rPr>
                <w:rStyle w:val="Indexkoppeling"/>
              </w:rPr>
              <w:t>Aanbevelingen</w:t>
              <w:tab/>
              <w:t>22</w:t>
            </w:r>
            <w:r>
              <w:rPr>
                <w:webHidden/>
              </w:rPr>
              <w:fldChar w:fldCharType="end"/>
            </w:r>
          </w:hyperlink>
        </w:p>
        <w:p>
          <w:pPr>
            <w:pStyle w:val="Inhoudsopgave1"/>
            <w:tabs>
              <w:tab w:val="left" w:pos="566" w:leader="none"/>
              <w:tab w:val="right" w:pos="9638" w:leader="dot"/>
            </w:tabs>
            <w:rPr>
              <w:rFonts w:ascii="Calibri" w:hAnsi="Calibri" w:eastAsia="" w:cs="" w:asciiTheme="minorHAnsi" w:cstheme="minorBidi" w:eastAsiaTheme="minorEastAsia" w:hAnsiTheme="minorHAnsi"/>
              <w:kern w:val="0"/>
              <w:sz w:val="22"/>
              <w:szCs w:val="22"/>
              <w:lang w:eastAsia="nl-NL" w:bidi="ar-SA"/>
            </w:rPr>
          </w:pPr>
          <w:hyperlink w:anchor="_Toc524688277">
            <w:r>
              <w:rPr>
                <w:rStyle w:val="Indexkoppeling"/>
              </w:rPr>
              <w:t>7</w:t>
            </w:r>
            <w:r>
              <w:rPr>
                <w:rStyle w:val="Indexkoppeling"/>
                <w:rFonts w:eastAsia="" w:cs="" w:ascii="Calibri" w:hAnsi="Calibri" w:asciiTheme="minorHAnsi" w:cstheme="minorBidi" w:eastAsiaTheme="minorEastAsia" w:hAnsiTheme="minorHAnsi"/>
                <w:kern w:val="0"/>
                <w:sz w:val="22"/>
                <w:szCs w:val="22"/>
                <w:lang w:eastAsia="nl-NL" w:bidi="ar-SA"/>
              </w:rPr>
              <w:tab/>
            </w:r>
            <w:r>
              <w:rPr>
                <w:webHidden/>
              </w:rPr>
              <w:fldChar w:fldCharType="begin"/>
            </w:r>
            <w:r>
              <w:rPr>
                <w:webHidden/>
              </w:rPr>
              <w:instrText>PAGEREF _Toc524688277 \h</w:instrText>
            </w:r>
            <w:r>
              <w:rPr>
                <w:webHidden/>
              </w:rPr>
              <w:fldChar w:fldCharType="separate"/>
            </w:r>
            <w:r>
              <w:rPr>
                <w:rStyle w:val="Indexkoppeling"/>
              </w:rPr>
              <w:t>BIJLAGE. Uitgangspunten proces bredere inzet Facet</w:t>
              <w:tab/>
              <w:t>24</w:t>
            </w:r>
            <w:r>
              <w:rPr>
                <w:webHidden/>
              </w:rPr>
              <w:fldChar w:fldCharType="end"/>
            </w:r>
          </w:hyperlink>
        </w:p>
        <w:p>
          <w:pPr>
            <w:pStyle w:val="Kop1"/>
            <w:numPr>
              <w:ilvl w:val="0"/>
              <w:numId w:val="2"/>
            </w:numPr>
            <w:rPr/>
          </w:pPr>
          <w:r>
            <w:rPr/>
          </w:r>
          <w:r>
            <w:rPr/>
            <w:fldChar w:fldCharType="end"/>
          </w:r>
          <w:bookmarkStart w:id="3" w:name="_Toc5233074961"/>
          <w:bookmarkStart w:id="4" w:name="_Toc5233074961"/>
          <w:bookmarkEnd w:id="4"/>
        </w:p>
      </w:sdtContent>
    </w:sdt>
    <w:p>
      <w:pPr>
        <w:pStyle w:val="Tekstblok"/>
        <w:rPr>
          <w:i/>
          <w:i/>
          <w:iCs/>
          <w:szCs w:val="20"/>
        </w:rPr>
      </w:pPr>
      <w:r>
        <w:rPr>
          <w:i/>
          <w:iCs/>
          <w:szCs w:val="20"/>
        </w:rPr>
      </w:r>
    </w:p>
    <w:p>
      <w:pPr>
        <w:pStyle w:val="Tekstblok"/>
        <w:spacing w:before="0" w:after="0"/>
        <w:rPr>
          <w:rFonts w:ascii="Verdana;sans-serif" w:hAnsi="Verdana;sans-serif"/>
          <w:color w:val="000000"/>
        </w:rPr>
      </w:pPr>
      <w:r>
        <w:rPr>
          <w:rFonts w:ascii="Verdana;sans-serif" w:hAnsi="Verdana;sans-serif"/>
          <w:color w:val="000000"/>
        </w:rPr>
      </w:r>
    </w:p>
    <w:p>
      <w:pPr>
        <w:pStyle w:val="Normal"/>
        <w:rPr>
          <w:rFonts w:ascii="Liberation Sans" w:hAnsi="Liberation Sans"/>
          <w:b/>
          <w:b/>
          <w:bCs/>
          <w:sz w:val="32"/>
          <w:szCs w:val="32"/>
        </w:rPr>
      </w:pPr>
      <w:r>
        <w:rPr>
          <w:rFonts w:ascii="Liberation Sans" w:hAnsi="Liberation Sans"/>
          <w:b/>
          <w:bCs/>
          <w:sz w:val="32"/>
          <w:szCs w:val="32"/>
        </w:rPr>
      </w:r>
      <w:r>
        <w:br w:type="page"/>
      </w:r>
    </w:p>
    <w:p>
      <w:pPr>
        <w:pStyle w:val="Kop1"/>
        <w:numPr>
          <w:ilvl w:val="0"/>
          <w:numId w:val="22"/>
        </w:numPr>
        <w:rPr/>
      </w:pPr>
      <w:bookmarkStart w:id="5" w:name="_Toc524688261"/>
      <w:bookmarkStart w:id="6" w:name="_Toc517429721"/>
      <w:bookmarkStart w:id="7" w:name="_Toc523307497"/>
      <w:r>
        <w:rPr/>
        <w:t>Inleiding</w:t>
      </w:r>
      <w:bookmarkEnd w:id="5"/>
      <w:bookmarkEnd w:id="6"/>
      <w:bookmarkEnd w:id="7"/>
      <w:r>
        <w:rPr/>
        <w:t xml:space="preserve"> </w:t>
      </w:r>
    </w:p>
    <w:p>
      <w:pPr>
        <w:pStyle w:val="Normal"/>
        <w:rPr/>
      </w:pPr>
      <w:r>
        <mc:AlternateContent>
          <mc:Choice Requires="wps">
            <w:drawing>
              <wp:anchor behindDoc="0" distT="9525" distB="12700" distL="120015" distR="119380" simplePos="0" locked="0" layoutInCell="1" allowOverlap="1" relativeHeight="5" wp14:anchorId="6F0F46DB">
                <wp:simplePos x="0" y="0"/>
                <wp:positionH relativeFrom="column">
                  <wp:posOffset>670560</wp:posOffset>
                </wp:positionH>
                <wp:positionV relativeFrom="paragraph">
                  <wp:posOffset>532130</wp:posOffset>
                </wp:positionV>
                <wp:extent cx="4973955" cy="3307080"/>
                <wp:effectExtent l="0" t="0" r="19050" b="28575"/>
                <wp:wrapTopAndBottom/>
                <wp:docPr id="3" name="Tekstvak 2"/>
                <a:graphic xmlns:a="http://schemas.openxmlformats.org/drawingml/2006/main">
                  <a:graphicData uri="http://schemas.microsoft.com/office/word/2010/wordprocessingShape">
                    <wps:wsp>
                      <wps:cNvSpPr/>
                      <wps:spPr>
                        <a:xfrm>
                          <a:off x="0" y="0"/>
                          <a:ext cx="4973400" cy="3306600"/>
                        </a:xfrm>
                        <a:prstGeom prst="rect">
                          <a:avLst/>
                        </a:prstGeom>
                        <a:solidFill>
                          <a:srgbClr val="ffffff"/>
                        </a:solidFill>
                        <a:ln w="9360">
                          <a:solidFill>
                            <a:schemeClr val="tx1"/>
                          </a:solidFill>
                          <a:round/>
                        </a:ln>
                      </wps:spPr>
                      <wps:style>
                        <a:lnRef idx="0"/>
                        <a:fillRef idx="0"/>
                        <a:effectRef idx="0"/>
                        <a:fontRef idx="minor"/>
                      </wps:style>
                      <wps:txbx>
                        <w:txbxContent>
                          <w:p>
                            <w:pPr>
                              <w:pStyle w:val="Tekstblok"/>
                              <w:rPr>
                                <w:b/>
                                <w:b/>
                                <w:color w:val="000000"/>
                                <w:szCs w:val="20"/>
                              </w:rPr>
                            </w:pPr>
                            <w:r>
                              <w:rPr>
                                <w:b/>
                                <w:bCs/>
                                <w:color w:val="000000"/>
                              </w:rPr>
                              <w:t>Opdracht van de werkgroep ‘toekomst Facet’</w:t>
                            </w:r>
                          </w:p>
                          <w:p>
                            <w:pPr>
                              <w:pStyle w:val="Frameinhoud"/>
                              <w:rPr/>
                            </w:pPr>
                            <w:r>
                              <w:rPr/>
                              <w:t>Formuleer een visie op de (door)ontwikkeling van Facet, inclusief beheer en exploitatie. Heb hierbij in ieder geval aandacht voor de volgende aspecten:</w:t>
                            </w:r>
                          </w:p>
                          <w:p>
                            <w:pPr>
                              <w:pStyle w:val="ListParagraph"/>
                              <w:numPr>
                                <w:ilvl w:val="0"/>
                                <w:numId w:val="21"/>
                              </w:numPr>
                              <w:rPr>
                                <w:szCs w:val="20"/>
                              </w:rPr>
                            </w:pPr>
                            <w:r>
                              <w:rPr/>
                              <w:t>de wensen en ontwikkelingen aan de vraagzijde (het onderwijs, mogelijk andere sectoren);</w:t>
                            </w:r>
                          </w:p>
                          <w:p>
                            <w:pPr>
                              <w:pStyle w:val="ListParagraph"/>
                              <w:numPr>
                                <w:ilvl w:val="0"/>
                                <w:numId w:val="21"/>
                              </w:numPr>
                              <w:rPr/>
                            </w:pPr>
                            <w:r>
                              <w:rPr/>
                              <w:t>de ontwikkelingen aan de aanbodzijde (leveranciers van toetsen en toetssystemen);</w:t>
                            </w:r>
                          </w:p>
                          <w:p>
                            <w:pPr>
                              <w:pStyle w:val="ListParagraph"/>
                              <w:numPr>
                                <w:ilvl w:val="0"/>
                                <w:numId w:val="21"/>
                              </w:numPr>
                              <w:rPr/>
                            </w:pPr>
                            <w:r>
                              <w:rPr/>
                              <w:t>de architectuurkaders vanuit ROSA en EduStandaard en de ontwikkeling van (inter)nationale standaarden.</w:t>
                            </w:r>
                          </w:p>
                          <w:p>
                            <w:pPr>
                              <w:pStyle w:val="ListParagraph"/>
                              <w:rPr/>
                            </w:pPr>
                            <w:r>
                              <w:rPr/>
                            </w:r>
                          </w:p>
                          <w:p>
                            <w:pPr>
                              <w:pStyle w:val="Frameinhoud"/>
                              <w:rPr/>
                            </w:pPr>
                            <w:r>
                              <w:rPr>
                                <w:color w:val="000000"/>
                                <w:szCs w:val="20"/>
                              </w:rPr>
                              <w:tab/>
                            </w:r>
                          </w:p>
                          <w:p>
                            <w:pPr>
                              <w:pStyle w:val="Tekstblok"/>
                              <w:spacing w:before="0" w:after="140"/>
                              <w:jc w:val="center"/>
                              <w:rPr/>
                            </w:pPr>
                            <w:r>
                              <w:rPr/>
                            </w:r>
                          </w:p>
                        </w:txbxContent>
                      </wps:txbx>
                      <wps:bodyPr>
                        <a:noAutofit/>
                      </wps:bodyPr>
                    </wps:wsp>
                  </a:graphicData>
                </a:graphic>
              </wp:anchor>
            </w:drawing>
          </mc:Choice>
          <mc:Fallback>
            <w:pict>
              <v:rect id="shape_0" ID="Tekstvak 2" fillcolor="white" stroked="t" style="position:absolute;margin-left:52.8pt;margin-top:41.9pt;width:391.55pt;height:260.3pt" wp14:anchorId="6F0F46DB">
                <w10:wrap type="square"/>
                <v:fill o:detectmouseclick="t" type="solid" color2="black"/>
                <v:stroke color="black" weight="9360" joinstyle="round" endcap="flat"/>
                <v:textbox>
                  <w:txbxContent>
                    <w:p>
                      <w:pPr>
                        <w:pStyle w:val="Tekstblok"/>
                        <w:rPr>
                          <w:b/>
                          <w:b/>
                          <w:color w:val="000000"/>
                          <w:szCs w:val="20"/>
                        </w:rPr>
                      </w:pPr>
                      <w:r>
                        <w:rPr>
                          <w:b/>
                          <w:bCs/>
                          <w:color w:val="000000"/>
                        </w:rPr>
                        <w:t>Opdracht van de werkgroep ‘toekomst Facet’</w:t>
                      </w:r>
                    </w:p>
                    <w:p>
                      <w:pPr>
                        <w:pStyle w:val="Frameinhoud"/>
                        <w:rPr/>
                      </w:pPr>
                      <w:r>
                        <w:rPr/>
                        <w:t>Formuleer een visie op de (door)ontwikkeling van Facet, inclusief beheer en exploitatie. Heb hierbij in ieder geval aandacht voor de volgende aspecten:</w:t>
                      </w:r>
                    </w:p>
                    <w:p>
                      <w:pPr>
                        <w:pStyle w:val="ListParagraph"/>
                        <w:numPr>
                          <w:ilvl w:val="0"/>
                          <w:numId w:val="21"/>
                        </w:numPr>
                        <w:rPr>
                          <w:szCs w:val="20"/>
                        </w:rPr>
                      </w:pPr>
                      <w:r>
                        <w:rPr/>
                        <w:t>de wensen en ontwikkelingen aan de vraagzijde (het onderwijs, mogelijk andere sectoren);</w:t>
                      </w:r>
                    </w:p>
                    <w:p>
                      <w:pPr>
                        <w:pStyle w:val="ListParagraph"/>
                        <w:numPr>
                          <w:ilvl w:val="0"/>
                          <w:numId w:val="21"/>
                        </w:numPr>
                        <w:rPr/>
                      </w:pPr>
                      <w:r>
                        <w:rPr/>
                        <w:t>de ontwikkelingen aan de aanbodzijde (leveranciers van toetsen en toetssystemen);</w:t>
                      </w:r>
                    </w:p>
                    <w:p>
                      <w:pPr>
                        <w:pStyle w:val="ListParagraph"/>
                        <w:numPr>
                          <w:ilvl w:val="0"/>
                          <w:numId w:val="21"/>
                        </w:numPr>
                        <w:rPr/>
                      </w:pPr>
                      <w:r>
                        <w:rPr/>
                        <w:t>de architectuurkaders vanuit ROSA en EduStandaard en de ontwikkeling van (inter)nationale standaarden.</w:t>
                      </w:r>
                    </w:p>
                    <w:p>
                      <w:pPr>
                        <w:pStyle w:val="ListParagraph"/>
                        <w:rPr/>
                      </w:pPr>
                      <w:r>
                        <w:rPr/>
                      </w:r>
                    </w:p>
                    <w:p>
                      <w:pPr>
                        <w:pStyle w:val="Frameinhoud"/>
                        <w:rPr/>
                      </w:pPr>
                      <w:r>
                        <w:rPr>
                          <w:color w:val="000000"/>
                          <w:szCs w:val="20"/>
                        </w:rPr>
                        <w:tab/>
                      </w:r>
                    </w:p>
                    <w:p>
                      <w:pPr>
                        <w:pStyle w:val="Tekstblok"/>
                        <w:spacing w:before="0" w:after="140"/>
                        <w:jc w:val="center"/>
                        <w:rPr/>
                      </w:pPr>
                      <w:r>
                        <w:rPr/>
                      </w:r>
                    </w:p>
                  </w:txbxContent>
                </v:textbox>
              </v:rect>
            </w:pict>
          </mc:Fallback>
        </mc:AlternateContent>
      </w:r>
      <w:r>
        <w:rPr/>
        <w:t>Voor u ligt het rapport van de werkgroep Toekomst Facet. De werkgroep bestond uit vertegenwoordigers van het College voor Toetsen en Examens (CvTE), DUO en OCW en had tot</w:t>
      </w:r>
      <w:r>
        <w:rPr>
          <w:szCs w:val="20"/>
        </w:rPr>
        <w:t xml:space="preserve"> </w:t>
      </w:r>
      <w:r>
        <w:rPr/>
        <w:t>doel een visie op de (door)ontwikkeling van Facet te ontwikkelen.</w:t>
      </w:r>
    </w:p>
    <w:p>
      <w:pPr>
        <w:pStyle w:val="Tekstblok"/>
        <w:rPr/>
      </w:pPr>
      <w:r>
        <w:rPr>
          <w:szCs w:val="20"/>
        </w:rPr>
        <w:t>De aanleiding voor de werkgroep is meerledig:</w:t>
      </w:r>
    </w:p>
    <w:p>
      <w:pPr>
        <w:pStyle w:val="Tekstblok"/>
        <w:numPr>
          <w:ilvl w:val="0"/>
          <w:numId w:val="9"/>
        </w:numPr>
        <w:spacing w:before="0" w:after="0"/>
        <w:ind w:left="714" w:hanging="357"/>
        <w:rPr>
          <w:szCs w:val="20"/>
        </w:rPr>
      </w:pPr>
      <w:r>
        <w:rPr>
          <w:szCs w:val="20"/>
        </w:rPr>
        <w:t>Facet is in de afgelopen jaren gegroeid, zowel in de ondersteuning van het aantal toetsen en examens dat afgenomen wordt als in overige functionaliteit. Overigens zijn ook onderdelen (DTT) weer gestopt. De vraag is waar de grenzen aan die groei liggen. Met de groei nemen de verantwoordelijkheid en de kosten voor de overheid toe. De vraag is of de (terechte) keuzes die in het verleden gemaakt zijn ten aanzien van de rol van de overheid inmiddels achterhaald zijn door ontwikkelingen op de markt.</w:t>
      </w:r>
    </w:p>
    <w:p>
      <w:pPr>
        <w:pStyle w:val="Tekstblok"/>
        <w:numPr>
          <w:ilvl w:val="0"/>
          <w:numId w:val="9"/>
        </w:numPr>
        <w:spacing w:before="0" w:after="0"/>
        <w:ind w:left="714" w:hanging="357"/>
        <w:rPr>
          <w:szCs w:val="20"/>
        </w:rPr>
      </w:pPr>
      <w:r>
        <w:rPr>
          <w:szCs w:val="20"/>
        </w:rPr>
        <w:t>Concrete vragen vanuit het onderwijs om (onderdelen van) Facet te mogen gebruiken voor instellingsexamens (MBO) of onderdelen van Facet te mogen gebruiken in eigen applicaties (rekenmachine);</w:t>
      </w:r>
    </w:p>
    <w:p>
      <w:pPr>
        <w:pStyle w:val="Tekstblok"/>
        <w:numPr>
          <w:ilvl w:val="0"/>
          <w:numId w:val="9"/>
        </w:numPr>
        <w:spacing w:before="0" w:after="120"/>
        <w:ind w:left="714" w:hanging="357"/>
        <w:rPr>
          <w:szCs w:val="20"/>
        </w:rPr>
      </w:pPr>
      <w:r>
        <w:rPr>
          <w:szCs w:val="20"/>
        </w:rPr>
        <w:t xml:space="preserve">Blinklane heeft in februari 2017 een advies opgeleverd over een bredere inzet van Facet. Een belangrijke aanbeveling was het formuleren van een visie op digitaal toetsen. </w:t>
      </w:r>
    </w:p>
    <w:p>
      <w:pPr>
        <w:pStyle w:val="Tekstblok"/>
        <w:rPr>
          <w:szCs w:val="20"/>
        </w:rPr>
      </w:pPr>
      <w:r>
        <w:rPr>
          <w:szCs w:val="20"/>
        </w:rPr>
        <w:t>In het vervolg op het advies van Blinklane is een onderscheid gemaakt tussen (1) een visie op de plaats, rol, frequentie van digitaal toetsen binnen het onderwijs en (2) een visie op het organiseren van de uitvoering van digitale toetsen. Ten aanzien van dat laatste is een uitgangspunten notitie opgesteld (zie bijlage). Deze notitie is voor de werkgroep het uitgangspunt van handelen.</w:t>
      </w:r>
    </w:p>
    <w:p>
      <w:pPr>
        <w:pStyle w:val="Kop2"/>
        <w:numPr>
          <w:ilvl w:val="1"/>
          <w:numId w:val="22"/>
        </w:numPr>
        <w:rPr/>
      </w:pPr>
      <w:bookmarkStart w:id="8" w:name="_Toc524688262"/>
      <w:bookmarkStart w:id="9" w:name="_Toc517429722"/>
      <w:bookmarkStart w:id="10" w:name="_Toc523307498"/>
      <w:r>
        <w:rPr/>
        <w:t>Opzet van het document</w:t>
      </w:r>
      <w:bookmarkEnd w:id="8"/>
      <w:bookmarkEnd w:id="9"/>
      <w:bookmarkEnd w:id="10"/>
    </w:p>
    <w:p>
      <w:pPr>
        <w:pStyle w:val="Tekstblok"/>
        <w:rPr/>
      </w:pPr>
      <w:r>
        <w:rPr>
          <w:szCs w:val="20"/>
        </w:rPr>
        <w:t xml:space="preserve">Het document is buiten de inleiding onderverdeeld in 4 delen. Het hoofdstuk </w:t>
      </w:r>
      <w:r>
        <w:rPr>
          <w:i/>
          <w:iCs/>
          <w:szCs w:val="20"/>
        </w:rPr>
        <w:t>Context</w:t>
      </w:r>
      <w:r>
        <w:rPr>
          <w:szCs w:val="20"/>
        </w:rPr>
        <w:t xml:space="preserve"> beschrijft de eigenschappen van Facet. Het hoofdstuk </w:t>
      </w:r>
      <w:r>
        <w:rPr>
          <w:i/>
          <w:iCs/>
          <w:szCs w:val="20"/>
        </w:rPr>
        <w:t xml:space="preserve">Principes </w:t>
      </w:r>
      <w:r>
        <w:rPr>
          <w:szCs w:val="20"/>
        </w:rPr>
        <w:t xml:space="preserve">beschrijft de 7 basisprincipes waarop Facet gebaseerd is. Het hoofdstuk </w:t>
      </w:r>
      <w:r>
        <w:rPr>
          <w:i/>
          <w:iCs/>
          <w:szCs w:val="20"/>
        </w:rPr>
        <w:t>Analyse</w:t>
      </w:r>
      <w:r>
        <w:rPr>
          <w:szCs w:val="20"/>
        </w:rPr>
        <w:t xml:space="preserve"> beschrijft in samenhang de 5 ketenprocessen en de onderdelen hiervan in perspectief. Het hoofdstuk </w:t>
      </w:r>
      <w:r>
        <w:rPr>
          <w:i/>
          <w:szCs w:val="20"/>
        </w:rPr>
        <w:t>Conclusie en a</w:t>
      </w:r>
      <w:r>
        <w:rPr>
          <w:i/>
          <w:iCs/>
          <w:szCs w:val="20"/>
        </w:rPr>
        <w:t>anbevelingen</w:t>
      </w:r>
      <w:r>
        <w:rPr>
          <w:szCs w:val="20"/>
        </w:rPr>
        <w:t xml:space="preserve"> beschrijft de conclusie op basis van de analyse van de processtappen en sluit af met aanbevelingen voor het vervolg.</w:t>
      </w:r>
      <w:r>
        <w:br w:type="page"/>
      </w:r>
    </w:p>
    <w:p>
      <w:pPr>
        <w:pStyle w:val="Kop1"/>
        <w:numPr>
          <w:ilvl w:val="0"/>
          <w:numId w:val="22"/>
        </w:numPr>
        <w:rPr/>
      </w:pPr>
      <w:bookmarkStart w:id="11" w:name="_Toc524688263"/>
      <w:bookmarkStart w:id="12" w:name="_Toc523307499"/>
      <w:bookmarkStart w:id="13" w:name="_Toc517429723"/>
      <w:r>
        <w:rPr/>
        <w:t>Context</w:t>
      </w:r>
      <w:bookmarkEnd w:id="11"/>
      <w:bookmarkEnd w:id="12"/>
      <w:bookmarkEnd w:id="13"/>
    </w:p>
    <w:p>
      <w:pPr>
        <w:pStyle w:val="Kop2"/>
        <w:numPr>
          <w:ilvl w:val="1"/>
          <w:numId w:val="22"/>
        </w:numPr>
        <w:rPr/>
      </w:pPr>
      <w:bookmarkStart w:id="14" w:name="_Toc524688264"/>
      <w:bookmarkStart w:id="15" w:name="_Toc517429724"/>
      <w:bookmarkStart w:id="16" w:name="_Toc523307500"/>
      <w:r>
        <w:rPr/>
        <w:t>Wat is Facet</w:t>
      </w:r>
      <w:bookmarkEnd w:id="14"/>
      <w:bookmarkEnd w:id="15"/>
      <w:bookmarkEnd w:id="16"/>
    </w:p>
    <w:p>
      <w:pPr>
        <w:pStyle w:val="Tekstblok"/>
        <w:rPr>
          <w:szCs w:val="20"/>
        </w:rPr>
      </w:pPr>
      <w:r>
        <w:rPr>
          <w:szCs w:val="20"/>
        </w:rPr>
        <w:t xml:space="preserve">Facet is het computerexamensysteem van de overheid waarin de digitale toetsen en examens afgenomen worden waar het CvTE verantwoordelijk voor is. Facet is in 2011 ontwikkeld als leveranciersonafhankelijk alternatief voor Examentester van Cito dat tot 2015 gebruikt werd voor het afnemen van digitale examens. Facet is het geheel van processen, applicaties, infrastructuur en diensten, die gezamenlijk de voorziening leveren. </w:t>
      </w:r>
    </w:p>
    <w:p>
      <w:pPr>
        <w:pStyle w:val="Tekstblok"/>
        <w:rPr>
          <w:szCs w:val="20"/>
        </w:rPr>
      </w:pPr>
      <w:r>
        <w:rPr>
          <w:szCs w:val="20"/>
        </w:rPr>
        <w:t>Facet wordt anno 2018 gebruikt op meer dan 2200 locaties en er zijn ca. 1,5 miljoen afnames per jaar.</w:t>
      </w:r>
    </w:p>
    <w:p>
      <w:pPr>
        <w:pStyle w:val="Tekstblok"/>
        <w:rPr>
          <w:szCs w:val="20"/>
        </w:rPr>
      </w:pPr>
      <w:r>
        <w:rPr>
          <w:szCs w:val="20"/>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6120130" cy="3232785"/>
            <wp:effectExtent l="0" t="0" r="0" b="0"/>
            <wp:wrapSquare wrapText="largest"/>
            <wp:docPr id="5" name="Afbeelding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5" descr=""/>
                    <pic:cNvPicPr>
                      <a:picLocks noChangeAspect="1" noChangeArrowheads="1"/>
                    </pic:cNvPicPr>
                  </pic:nvPicPr>
                  <pic:blipFill>
                    <a:blip r:embed="rId4"/>
                    <a:stretch>
                      <a:fillRect/>
                    </a:stretch>
                  </pic:blipFill>
                  <pic:spPr bwMode="auto">
                    <a:xfrm>
                      <a:off x="0" y="0"/>
                      <a:ext cx="6120130" cy="3232785"/>
                    </a:xfrm>
                    <a:prstGeom prst="rect">
                      <a:avLst/>
                    </a:prstGeom>
                  </pic:spPr>
                </pic:pic>
              </a:graphicData>
            </a:graphic>
          </wp:anchor>
        </w:drawing>
      </w:r>
    </w:p>
    <w:p>
      <w:pPr>
        <w:pStyle w:val="Kop2"/>
        <w:numPr>
          <w:ilvl w:val="1"/>
          <w:numId w:val="22"/>
        </w:numPr>
        <w:rPr/>
      </w:pPr>
      <w:bookmarkStart w:id="17" w:name="_Toc524688265"/>
      <w:bookmarkStart w:id="18" w:name="_Toc517429725"/>
      <w:bookmarkStart w:id="19" w:name="_Toc523307501"/>
      <w:r>
        <w:rPr/>
        <w:t>Facet geplot op het ROSA ketenproces</w:t>
      </w:r>
      <w:bookmarkEnd w:id="17"/>
      <w:bookmarkEnd w:id="18"/>
      <w:bookmarkEnd w:id="19"/>
    </w:p>
    <w:p>
      <w:pPr>
        <w:pStyle w:val="Tekstblok"/>
        <w:rPr/>
      </w:pPr>
      <w:r>
        <w:rPr>
          <w:szCs w:val="20"/>
        </w:rPr>
        <w:t>Facet is gebouwd om digitale voorzieningen te leveren voor het ketenproces: Examineren, Toetsen en Oefenen. Dit ketenproces levert een bijdrage in de wettelijke taak van het CvTE om</w:t>
      </w:r>
      <w:r>
        <w:rPr>
          <w:i/>
          <w:iCs/>
          <w:szCs w:val="20"/>
        </w:rPr>
        <w:t>, namens de overheid, de kwaliteit van de centrale toetsen en examens die onder zijn verantwoordelijkheid vallen, te waarborgen en om scholen en instellingen in staat te stellen de afname van examens en toetsen vlekkeloos te laten verlopen</w:t>
      </w:r>
      <w:r>
        <w:rPr>
          <w:iCs/>
          <w:szCs w:val="20"/>
        </w:rPr>
        <w:t>.</w:t>
      </w:r>
      <w:r>
        <w:rPr>
          <w:szCs w:val="20"/>
        </w:rPr>
        <w:t xml:space="preserve"> </w:t>
      </w:r>
    </w:p>
    <w:p>
      <w:pPr>
        <w:pStyle w:val="Tekstblok"/>
        <w:rPr/>
      </w:pPr>
      <w:r>
        <w:rPr>
          <w:szCs w:val="20"/>
        </w:rPr>
        <w:t>Het ketenproces is gedefinieerd op basis van de processen die in detail zijn beschreven in het architectuurdocument van Facet.</w:t>
      </w:r>
      <w:r>
        <w:rPr>
          <w:rStyle w:val="Voetnootanker"/>
          <w:rStyle w:val="Voetnootanker"/>
          <w:szCs w:val="20"/>
        </w:rPr>
        <w:footnoteReference w:id="2"/>
      </w:r>
    </w:p>
    <w:p>
      <w:pPr>
        <w:pStyle w:val="Tekstblok"/>
        <w:rPr>
          <w:szCs w:val="20"/>
        </w:rPr>
      </w:pPr>
      <w:r>
        <w:rPr>
          <w:szCs w:val="20"/>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120130" cy="1156970"/>
            <wp:effectExtent l="0" t="0" r="0" b="0"/>
            <wp:wrapSquare wrapText="largest"/>
            <wp:docPr id="6" name="Afbeelding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4" descr=""/>
                    <pic:cNvPicPr>
                      <a:picLocks noChangeAspect="1" noChangeArrowheads="1"/>
                    </pic:cNvPicPr>
                  </pic:nvPicPr>
                  <pic:blipFill>
                    <a:blip r:embed="rId5"/>
                    <a:stretch>
                      <a:fillRect/>
                    </a:stretch>
                  </pic:blipFill>
                  <pic:spPr bwMode="auto">
                    <a:xfrm>
                      <a:off x="0" y="0"/>
                      <a:ext cx="6120130" cy="1156970"/>
                    </a:xfrm>
                    <a:prstGeom prst="rect">
                      <a:avLst/>
                    </a:prstGeom>
                  </pic:spPr>
                </pic:pic>
              </a:graphicData>
            </a:graphic>
          </wp:anchor>
        </w:drawing>
      </w:r>
    </w:p>
    <w:p>
      <w:pPr>
        <w:pStyle w:val="Normal"/>
        <w:rPr/>
      </w:pPr>
      <w:r>
        <w:rPr/>
        <w:t>Het ketenproces onderkent 5 primaire processtappen die een bijdrage leveren aan een vlekkeloze afname en 2 ondersteunende processtappen die verantwoordelijk zijn voor de ontwikkeling en beheer van de voorzieningen. De primaire processtappen onderkent de handelingen die benodigd zijn voor:</w:t>
      </w:r>
    </w:p>
    <w:p>
      <w:pPr>
        <w:pStyle w:val="ListParagraph"/>
        <w:numPr>
          <w:ilvl w:val="0"/>
          <w:numId w:val="24"/>
        </w:numPr>
        <w:rPr/>
      </w:pPr>
      <w:r>
        <w:rPr/>
        <w:t>het construeren en vaststellen van nieuwe of gewijzigde toetsen en examens;</w:t>
      </w:r>
    </w:p>
    <w:p>
      <w:pPr>
        <w:pStyle w:val="ListParagraph"/>
        <w:numPr>
          <w:ilvl w:val="0"/>
          <w:numId w:val="24"/>
        </w:numPr>
        <w:rPr/>
      </w:pPr>
      <w:r>
        <w:rPr/>
        <w:t>het plannen van een afname op een afnamelocatie;</w:t>
      </w:r>
    </w:p>
    <w:p>
      <w:pPr>
        <w:pStyle w:val="ListParagraph"/>
        <w:numPr>
          <w:ilvl w:val="0"/>
          <w:numId w:val="24"/>
        </w:numPr>
        <w:rPr/>
      </w:pPr>
      <w:r>
        <w:rPr/>
        <w:t>het afnemen van een toets of examen door een kandidaat op een afnamelocatie;</w:t>
      </w:r>
    </w:p>
    <w:p>
      <w:pPr>
        <w:pStyle w:val="ListParagraph"/>
        <w:numPr>
          <w:ilvl w:val="0"/>
          <w:numId w:val="24"/>
        </w:numPr>
        <w:rPr/>
      </w:pPr>
      <w:r>
        <w:rPr/>
        <w:t>het analyseren van de afname(resultaten) en</w:t>
      </w:r>
    </w:p>
    <w:p>
      <w:pPr>
        <w:pStyle w:val="ListParagraph"/>
        <w:numPr>
          <w:ilvl w:val="0"/>
          <w:numId w:val="24"/>
        </w:numPr>
        <w:rPr/>
      </w:pPr>
      <w:r>
        <w:rPr/>
        <w:t>het rapporteren over de afname(resultaten).</w:t>
      </w:r>
    </w:p>
    <w:p>
      <w:pPr>
        <w:pStyle w:val="Kop2"/>
        <w:numPr>
          <w:ilvl w:val="1"/>
          <w:numId w:val="22"/>
        </w:numPr>
        <w:rPr/>
      </w:pPr>
      <w:bookmarkStart w:id="20" w:name="_Toc524688266"/>
      <w:bookmarkStart w:id="21" w:name="_Toc523307502"/>
      <w:r>
        <w:rPr/>
        <w:t>De Facet applicatiecomponenten</w:t>
      </w:r>
      <w:bookmarkEnd w:id="20"/>
      <w:bookmarkEnd w:id="21"/>
      <w:r>
        <w:rPr/>
        <w:t xml:space="preserve"> </w:t>
      </w:r>
    </w:p>
    <w:p>
      <w:pPr>
        <w:pStyle w:val="Normal"/>
        <w:rPr>
          <w:szCs w:val="20"/>
        </w:rPr>
      </w:pPr>
      <w:r>
        <w:rPr>
          <w:szCs w:val="20"/>
        </w:rPr>
        <w:t xml:space="preserve">Het gehele landschap van Facet bestaat uit een samenhangende set van verschillende applicaties. Ieder applicatie levert veelal een specifieke een bijdrage aan één of meerdere processtappen. Momenteel zit Facet midden in een transitiefase naar een nog meer modulaire architectuur. </w:t>
      </w:r>
    </w:p>
    <w:p>
      <w:pPr>
        <w:pStyle w:val="ListParagraph"/>
        <w:numPr>
          <w:ilvl w:val="0"/>
          <w:numId w:val="23"/>
        </w:numPr>
        <w:rPr>
          <w:sz w:val="20"/>
          <w:szCs w:val="20"/>
        </w:rPr>
      </w:pPr>
      <w:r>
        <w:rPr>
          <w:sz w:val="20"/>
          <w:szCs w:val="20"/>
        </w:rPr>
        <w:t>De implementatiezijde wordt weer in lijn gebracht met de architectuur zoals die oorspronkelijk bedoeld is;</w:t>
      </w:r>
    </w:p>
    <w:p>
      <w:pPr>
        <w:pStyle w:val="ListParagraph"/>
        <w:numPr>
          <w:ilvl w:val="0"/>
          <w:numId w:val="23"/>
        </w:numPr>
        <w:rPr>
          <w:sz w:val="20"/>
          <w:szCs w:val="20"/>
        </w:rPr>
      </w:pPr>
      <w:r>
        <w:rPr>
          <w:sz w:val="20"/>
          <w:szCs w:val="20"/>
        </w:rPr>
        <w:t>De functionele blokken kunnen eenvoudig vervangen worden;</w:t>
      </w:r>
    </w:p>
    <w:p>
      <w:pPr>
        <w:pStyle w:val="ListParagraph"/>
        <w:numPr>
          <w:ilvl w:val="0"/>
          <w:numId w:val="23"/>
        </w:numPr>
        <w:rPr>
          <w:sz w:val="20"/>
          <w:szCs w:val="20"/>
        </w:rPr>
      </w:pPr>
      <w:r>
        <w:rPr>
          <w:sz w:val="20"/>
          <w:szCs w:val="20"/>
        </w:rPr>
        <w:t>De complexiteit van de gehele code wordt gereduceerd, waardoor de foutkans verder afneemt en de onderhoudbaarheid toeneemt;</w:t>
      </w:r>
    </w:p>
    <w:p>
      <w:pPr>
        <w:pStyle w:val="ListParagraph"/>
        <w:numPr>
          <w:ilvl w:val="0"/>
          <w:numId w:val="23"/>
        </w:numPr>
        <w:rPr>
          <w:sz w:val="20"/>
          <w:szCs w:val="20"/>
        </w:rPr>
      </w:pPr>
      <w:r>
        <w:rPr>
          <w:sz w:val="20"/>
          <w:szCs w:val="20"/>
        </w:rPr>
        <w:t>De meer generieke functionaliteit wordt losgetrokken van de sectorspecifieke functionaliteit. Met als gevolg stabielere en betrouwbaardere afnames.</w:t>
      </w:r>
    </w:p>
    <w:p>
      <w:pPr>
        <w:pStyle w:val="ListParagraph"/>
        <w:rPr>
          <w:sz w:val="20"/>
          <w:szCs w:val="20"/>
        </w:rPr>
      </w:pPr>
      <w:r>
        <w:rPr>
          <w:sz w:val="20"/>
          <w:szCs w:val="20"/>
        </w:rPr>
      </w:r>
    </w:p>
    <w:p>
      <w:pPr>
        <w:pStyle w:val="Tekstblok"/>
        <w:rPr/>
      </w:pPr>
      <w:r>
        <w:rPr>
          <w:szCs w:val="20"/>
        </w:rPr>
        <w:t>De naamgeving van de belangrijkste applicatiecomponenten is afgeleid van de functie die zij</w:t>
      </w:r>
      <w:r>
        <w:rPr/>
        <w:t xml:space="preserve"> vervullen in het proces. Hierdoor zijn de individuele componenten goed te duiden in het grote geheel. </w:t>
      </w:r>
    </w:p>
    <w:p>
      <w:pPr>
        <w:pStyle w:val="Tekstblok"/>
        <w:numPr>
          <w:ilvl w:val="0"/>
          <w:numId w:val="17"/>
        </w:numPr>
        <w:rPr/>
      </w:pPr>
      <w:r>
        <w:rPr>
          <w:b/>
          <w:bCs/>
        </w:rPr>
        <w:t>Constructie-previewer</w:t>
      </w:r>
      <w:r>
        <w:rPr/>
        <w:t xml:space="preserve">: draagt zorg voor een referentieomgeving voor de toetsleverancier tijdens toetsconstructiefase. De toetsconstructeur kan het item of de toets die hij in ontwikkeling heeft, controleren en valideren tegen de Facet omgeving. </w:t>
      </w:r>
    </w:p>
    <w:p>
      <w:pPr>
        <w:pStyle w:val="Tekstblok"/>
        <w:numPr>
          <w:ilvl w:val="0"/>
          <w:numId w:val="17"/>
        </w:numPr>
        <w:rPr/>
      </w:pPr>
      <w:r>
        <w:rPr>
          <w:b/>
          <w:bCs/>
        </w:rPr>
        <w:t>Keten-previewer</w:t>
      </w:r>
      <w:r>
        <w:rPr/>
        <w:t xml:space="preserve">: draagt zorg voor het presenteren van de toets ten behoeve van het vaststellingsproces. De toets wordt getoond aan de vaststellingscommissie zoals deze ook wordt afgenomen en tevens biedt de voorziening om controles uit te voeren rondom het berekenen van de scores. </w:t>
      </w:r>
    </w:p>
    <w:p>
      <w:pPr>
        <w:pStyle w:val="Tekstblok"/>
        <w:numPr>
          <w:ilvl w:val="0"/>
          <w:numId w:val="17"/>
        </w:numPr>
        <w:rPr/>
      </w:pPr>
      <w:r>
        <w:rPr>
          <w:b/>
          <w:bCs/>
        </w:rPr>
        <w:t>Kandidaat-beheer</w:t>
      </w:r>
      <w:r>
        <w:rPr/>
        <w:t>: draagt zorg voor het importeren en bewerken van kandidaatsgegevens. Veelal worden deze gegevens verkregen via een export van het Leerling Informatie systeem.</w:t>
      </w:r>
    </w:p>
    <w:p>
      <w:pPr>
        <w:pStyle w:val="Tekstblok"/>
        <w:numPr>
          <w:ilvl w:val="0"/>
          <w:numId w:val="17"/>
        </w:numPr>
        <w:rPr/>
      </w:pPr>
      <w:r>
        <w:rPr>
          <w:b/>
          <w:bCs/>
        </w:rPr>
        <w:t>Afname-planning</w:t>
      </w:r>
      <w:r>
        <w:rPr/>
        <w:t xml:space="preserve">: draagt zorg voor inplannen van een afname door de kandidaatsgegevens te koppelen aan een toets, afnametijdstip en afnamelocatie. </w:t>
      </w:r>
    </w:p>
    <w:p>
      <w:pPr>
        <w:pStyle w:val="Tekstblok"/>
        <w:numPr>
          <w:ilvl w:val="0"/>
          <w:numId w:val="17"/>
        </w:numPr>
        <w:rPr/>
      </w:pPr>
      <w:r>
        <w:rPr>
          <w:b/>
          <w:bCs/>
        </w:rPr>
        <w:t>Afnameomgeving</w:t>
      </w:r>
      <w:r>
        <w:rPr/>
        <w:t xml:space="preserve">: draagt zorg voor het afnamen van de toets of het examen. Deze omgeving is centraal en optioneel op afnamelocatie beschikbaar. Vanuit deze omgeving kan een afname begeleid worden, de items gepresenteerd en de antwoorden opgeslagen. </w:t>
      </w:r>
    </w:p>
    <w:p>
      <w:pPr>
        <w:pStyle w:val="Tekstblok"/>
        <w:numPr>
          <w:ilvl w:val="0"/>
          <w:numId w:val="17"/>
        </w:numPr>
        <w:rPr/>
      </w:pPr>
      <w:r>
        <w:rPr>
          <w:b/>
          <w:bCs/>
        </w:rPr>
        <w:t>Analyse platform</w:t>
      </w:r>
      <w:r>
        <w:rPr/>
        <w:t xml:space="preserve">: draagt zorg voor het analyseren en verrijken van de verkregen antwoorden om te komen tot een eindresultaat. De verkregen antwoorden van de kandidaat worden gescoord op toetsniveau en vervolgens worden de antwoorden en resultaten beschikbaar gesteld aan de toetsleverancier voor analyse op sleutelfouten, neutralisatie en normering. De uit analyse verkregen normering kan als laatste stap worden toegevoegd waardoor het eindresultaat beschikbaar komt. </w:t>
      </w:r>
    </w:p>
    <w:p>
      <w:pPr>
        <w:pStyle w:val="Tekstblok"/>
        <w:numPr>
          <w:ilvl w:val="0"/>
          <w:numId w:val="17"/>
        </w:numPr>
        <w:rPr/>
      </w:pPr>
      <w:r>
        <w:rPr>
          <w:b/>
          <w:bCs/>
        </w:rPr>
        <w:t>Correctie-omgeving</w:t>
      </w:r>
      <w:r>
        <w:rPr/>
        <w:t>: draagt zorg voor een mogelijkheid om items handmatig te scoren. Toetsen die items bevatten die niet door het systeem gescoord kunnen worden, dienen handmatig door een corrector of beoordelaar gescoord te worden. Hiervoor biedt Facet een omgeving aan waarin het item inclusief antwoord getoond wordt zoals de kandidaat het ook gezien heeft. Op basis van het gegeven antwoord kan de corrector of beoordelaar een score toekennen.</w:t>
      </w:r>
    </w:p>
    <w:p>
      <w:pPr>
        <w:pStyle w:val="Tekstblok"/>
        <w:numPr>
          <w:ilvl w:val="0"/>
          <w:numId w:val="17"/>
        </w:numPr>
        <w:rPr/>
      </w:pPr>
      <w:r>
        <w:rPr>
          <w:b/>
          <w:bCs/>
        </w:rPr>
        <w:t>Rapportage platform</w:t>
      </w:r>
      <w:r>
        <w:rPr/>
        <w:t xml:space="preserve">: draagt zorg voor het genereren en presenteren van specifieke rapporten, zoals leerlingrapport en schoolrapport. Op basis van een opmaak sjabloon wordt een rapport opgemaakt en verrijkt met informatie die verkregen is tijdens de afname en analyse fase. </w:t>
      </w:r>
    </w:p>
    <w:p>
      <w:pPr>
        <w:pStyle w:val="Tekstblok"/>
        <w:numPr>
          <w:ilvl w:val="0"/>
          <w:numId w:val="17"/>
        </w:numPr>
        <w:rPr/>
      </w:pPr>
      <w:r>
        <w:rPr>
          <w:b/>
          <w:bCs/>
        </w:rPr>
        <w:t>Inzage-omgeving</w:t>
      </w:r>
      <w:r>
        <w:rPr/>
        <w:t xml:space="preserve">: draagt zorg voor het presenteren van de toets of het examen inclusief de gegeven antwoorden van de kandidaat en de scores die hieraan zijn toegekend. Deze voorziening levert een bijdrage aan het wettelijke inzage termijn van de verschillende toetsen. </w:t>
      </w:r>
    </w:p>
    <w:p>
      <w:pPr>
        <w:pStyle w:val="Kop2"/>
        <w:numPr>
          <w:ilvl w:val="1"/>
          <w:numId w:val="22"/>
        </w:numPr>
        <w:rPr/>
      </w:pPr>
      <w:bookmarkStart w:id="22" w:name="_Toc524688267"/>
      <w:bookmarkStart w:id="23" w:name="_Toc523307503"/>
      <w:r>
        <w:rPr/>
        <w:t>Generieke infrastructuur</w:t>
      </w:r>
      <w:bookmarkEnd w:id="22"/>
      <w:bookmarkEnd w:id="23"/>
    </w:p>
    <w:p>
      <w:pPr>
        <w:pStyle w:val="Tekstblok"/>
        <w:rPr/>
      </w:pPr>
      <w:r>
        <w:rPr/>
        <w:t xml:space="preserve">De infrastructuur biedt de voorzieningen die een belangrijke bijdrage leveren aan het creëren van een veilige en robuuste basis waarop de Facet correct zijn werk kan verrichten. De infrastructuur is onder te verdelen in twee categorieën, de onderdelen die uitgeleverd worden aan de afnamelocaties en de onderdelen die de verantwoordelijk zijn voor transport van gegevens op de centrale omgeving. </w:t>
      </w:r>
    </w:p>
    <w:p>
      <w:pPr>
        <w:pStyle w:val="Tekstblok"/>
        <w:rPr/>
      </w:pPr>
      <w:r>
        <w:rPr/>
        <w:t xml:space="preserve">De infrastructurele onderdelen die beschikbaar gesteld worden aan afnamelocaties zijn benodigd om succesvol een afname te kunnen doen. Deze componenten worden as-is uitgeleverd aan de afnamelocatie en leveren een optimale bijdrage op gebied van veilig en correct afnemen. </w:t>
      </w:r>
    </w:p>
    <w:p>
      <w:pPr>
        <w:pStyle w:val="Tekstblok"/>
        <w:numPr>
          <w:ilvl w:val="0"/>
          <w:numId w:val="18"/>
        </w:numPr>
        <w:rPr/>
      </w:pPr>
      <w:r>
        <w:rPr>
          <w:b/>
          <w:bCs/>
        </w:rPr>
        <w:t>B-CLD</w:t>
      </w:r>
      <w:r>
        <w:rPr/>
        <w:t xml:space="preserve">: (Bootable Client Lock Down) is een veilige afnameclient die direct op de hardware gestart wordt. De afnameclient is vrij van applicaties waarmee kandidaten uitstapjes (naar het Internet) buiten de afnameomgeving kan maken of informatie kan onttrekken vanuit de afnameomgeving. De B-CLD is een generieke applicatie die in principe een veilige omgeving biedt voor applicaties die op HTML5 zijn gebaseerd. </w:t>
      </w:r>
    </w:p>
    <w:p>
      <w:pPr>
        <w:pStyle w:val="Tekstblok"/>
        <w:numPr>
          <w:ilvl w:val="0"/>
          <w:numId w:val="18"/>
        </w:numPr>
        <w:rPr/>
      </w:pPr>
      <w:r>
        <w:rPr>
          <w:b/>
          <w:bCs/>
        </w:rPr>
        <w:t>FAO</w:t>
      </w:r>
      <w:r>
        <w:rPr/>
        <w:t xml:space="preserve">: (Facet Afname Offline) is een afnameserver die op de afnamelocatie zelf geplaatst kan worden. De server kan ten tijde van de afname volledig autonoom werken. Voor synchronisatie van gegevens is vooraf en achteraf wel Internet verbinding vereist. Door middel van encryptie is de opgeslagen informatie door niemand in te zien. </w:t>
      </w:r>
    </w:p>
    <w:p>
      <w:pPr>
        <w:pStyle w:val="Tekstblok"/>
        <w:rPr/>
      </w:pPr>
      <w:r>
        <w:rPr/>
        <w:t>De overige infrastructurele onderdelen maken allemaal een onderdeel uit van de centrale omgeving en dragen bij aan het betrouwbaar transporteren van gegevens.</w:t>
      </w:r>
    </w:p>
    <w:p>
      <w:pPr>
        <w:pStyle w:val="Tekstblok"/>
        <w:numPr>
          <w:ilvl w:val="0"/>
          <w:numId w:val="19"/>
        </w:numPr>
        <w:rPr/>
      </w:pPr>
      <w:r>
        <w:rPr>
          <w:b/>
          <w:bCs/>
        </w:rPr>
        <w:t>Camunda</w:t>
      </w:r>
      <w:r>
        <w:rPr/>
        <w:t xml:space="preserve">: is een Business Process Management functionaliteit die verantwoordelijk is voor het correct (laten) uitvoeren van deeltaken op het juiste moment. Deze applicatie regelt het aansturen van de diverse applicatiefuncties. </w:t>
      </w:r>
    </w:p>
    <w:p>
      <w:pPr>
        <w:pStyle w:val="Tekstblok"/>
        <w:numPr>
          <w:ilvl w:val="0"/>
          <w:numId w:val="19"/>
        </w:numPr>
        <w:rPr/>
      </w:pPr>
      <w:r>
        <w:rPr>
          <w:b/>
          <w:bCs/>
        </w:rPr>
        <w:t>Kafka</w:t>
      </w:r>
      <w:r>
        <w:rPr/>
        <w:t xml:space="preserve">: is een elektronische postbode die verantwoordelijk is voor het correct versturen van gegevens tussen de verschillende applicaties. </w:t>
      </w:r>
    </w:p>
    <w:p>
      <w:pPr>
        <w:pStyle w:val="Tekstblok"/>
        <w:numPr>
          <w:ilvl w:val="0"/>
          <w:numId w:val="19"/>
        </w:numPr>
        <w:rPr/>
      </w:pPr>
      <w:r>
        <w:rPr>
          <w:b/>
          <w:bCs/>
        </w:rPr>
        <w:t>S3 Storage</w:t>
      </w:r>
      <w:r>
        <w:rPr/>
        <w:t xml:space="preserve">: is een grote postbak waarmee grote hoeveelheid bestanden uitgewisseld kan worden met ketenpartners en afnamelocaties. </w:t>
      </w:r>
    </w:p>
    <w:p>
      <w:pPr>
        <w:pStyle w:val="Tekstblok"/>
        <w:numPr>
          <w:ilvl w:val="0"/>
          <w:numId w:val="19"/>
        </w:numPr>
        <w:rPr/>
      </w:pPr>
      <w:r>
        <w:rPr>
          <w:b/>
          <w:bCs/>
        </w:rPr>
        <w:t>ELK-Stack</w:t>
      </w:r>
      <w:r>
        <w:rPr/>
        <w:t>: is verantwoordelijk voor het verzamelen en filteren van gebeurtenissen binnen het Facet systeem. Alle handelingen die verricht worden binnen Facet, zoals het maken van een planning of het navigeren door een toets wordt vastgelegd als een gebeurtenis. De verkregen informatie kan gebruikt worden voor het vaststellen van onregelmatigheden of inzicht krijgen in voortgang van het systeem.</w:t>
      </w:r>
      <w:r>
        <w:br w:type="page"/>
      </w:r>
    </w:p>
    <w:p>
      <w:pPr>
        <w:pStyle w:val="Kop1"/>
        <w:numPr>
          <w:ilvl w:val="0"/>
          <w:numId w:val="22"/>
        </w:numPr>
        <w:rPr/>
      </w:pPr>
      <w:bookmarkStart w:id="24" w:name="_Toc524688268"/>
      <w:bookmarkStart w:id="25" w:name="_Toc517429726"/>
      <w:bookmarkStart w:id="26" w:name="_Toc523307504"/>
      <w:r>
        <w:rPr/>
        <w:t>Basisprincipes</w:t>
      </w:r>
      <w:bookmarkEnd w:id="24"/>
      <w:bookmarkEnd w:id="25"/>
      <w:bookmarkEnd w:id="26"/>
    </w:p>
    <w:p>
      <w:pPr>
        <w:pStyle w:val="Tekstblok"/>
        <w:rPr/>
      </w:pPr>
      <w:r>
        <w:rPr>
          <w:szCs w:val="20"/>
        </w:rPr>
        <w:t>De essentie van het computerexamensysteem is vastgelegd in 8 basisprincipes. De principes beschrijven de strategische kaders waarbinnen het systeem ontwikkeld en beheerd wordt. Deze basisprincipes zijn te herleiden naar wet- en regelgeving.</w:t>
      </w:r>
    </w:p>
    <w:tbl>
      <w:tblPr>
        <w:tblW w:w="9922" w:type="dxa"/>
        <w:jc w:val="left"/>
        <w:tblInd w:w="-149" w:type="dxa"/>
        <w:tblBorders>
          <w:top w:val="single" w:sz="2" w:space="0" w:color="DDDDDD"/>
          <w:left w:val="single" w:sz="2" w:space="0" w:color="DDDDDD"/>
          <w:bottom w:val="single" w:sz="2" w:space="0" w:color="DDDDDD"/>
          <w:insideH w:val="single" w:sz="2" w:space="0" w:color="DDDDDD"/>
        </w:tblBorders>
        <w:tblCellMar>
          <w:top w:w="105" w:type="dxa"/>
          <w:left w:w="146" w:type="dxa"/>
          <w:bottom w:w="105" w:type="dxa"/>
          <w:right w:w="150" w:type="dxa"/>
        </w:tblCellMar>
        <w:tblLook w:noVBand="1" w:val="04a0" w:noHBand="0" w:lastColumn="0" w:firstColumn="1" w:lastRow="0" w:firstRow="1"/>
      </w:tblPr>
      <w:tblGrid>
        <w:gridCol w:w="1697"/>
        <w:gridCol w:w="8224"/>
      </w:tblGrid>
      <w:tr>
        <w:trPr>
          <w:trHeight w:val="470" w:hRule="atLeast"/>
        </w:trPr>
        <w:tc>
          <w:tcPr>
            <w:tcW w:w="1697" w:type="dxa"/>
            <w:tcBorders>
              <w:top w:val="single" w:sz="2" w:space="0" w:color="DDDDDD"/>
              <w:left w:val="single" w:sz="2" w:space="0" w:color="DDDDDD"/>
              <w:bottom w:val="single" w:sz="2" w:space="0" w:color="DDDDDD"/>
              <w:insideH w:val="single" w:sz="2" w:space="0" w:color="DDDDDD"/>
            </w:tcBorders>
            <w:shd w:color="auto" w:fill="F0F0F0" w:val="clear"/>
            <w:vAlign w:val="center"/>
          </w:tcPr>
          <w:p>
            <w:pPr>
              <w:pStyle w:val="Normal"/>
              <w:rPr>
                <w:szCs w:val="20"/>
              </w:rPr>
            </w:pPr>
            <w:r>
              <w:rPr>
                <w:szCs w:val="20"/>
              </w:rPr>
              <w:t>[BP 01]</w:t>
            </w:r>
          </w:p>
        </w:tc>
        <w:tc>
          <w:tcPr>
            <w:tcW w:w="8224"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color="auto" w:fill="F0F0F0" w:val="clear"/>
            <w:vAlign w:val="center"/>
          </w:tcPr>
          <w:p>
            <w:pPr>
              <w:pStyle w:val="Normal"/>
              <w:rPr>
                <w:szCs w:val="20"/>
              </w:rPr>
            </w:pPr>
            <w:r>
              <w:rPr>
                <w:szCs w:val="20"/>
              </w:rPr>
              <w:t>Het computerexamensysteem vervult primair de rol van examinator en biedt enkel functionaliteit die benodigd is voor het correct uitvoeren van deze rol.</w:t>
            </w:r>
          </w:p>
        </w:tc>
      </w:tr>
      <w:tr>
        <w:trPr>
          <w:trHeight w:val="2701" w:hRule="atLeast"/>
        </w:trPr>
        <w:tc>
          <w:tcPr>
            <w:tcW w:w="1697" w:type="dxa"/>
            <w:tcBorders>
              <w:top w:val="single" w:sz="2" w:space="0" w:color="DDDDDD"/>
              <w:left w:val="single" w:sz="2" w:space="0" w:color="DDDDDD"/>
              <w:bottom w:val="single" w:sz="2" w:space="0" w:color="DDDDDD"/>
              <w:insideH w:val="single" w:sz="2" w:space="0" w:color="DDDDDD"/>
            </w:tcBorders>
            <w:shd w:fill="auto" w:val="clear"/>
          </w:tcPr>
          <w:p>
            <w:pPr>
              <w:pStyle w:val="Normal"/>
              <w:rPr/>
            </w:pPr>
            <w:r>
              <w:rPr>
                <w:rStyle w:val="Sterkaccent"/>
                <w:szCs w:val="20"/>
              </w:rPr>
              <w:t>Achtergrond</w:t>
            </w:r>
          </w:p>
        </w:tc>
        <w:tc>
          <w:tcPr>
            <w:tcW w:w="8224"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fill="auto" w:val="clear"/>
            <w:vAlign w:val="center"/>
          </w:tcPr>
          <w:p>
            <w:pPr>
              <w:pStyle w:val="Normal"/>
              <w:rPr/>
            </w:pPr>
            <w:r>
              <w:rPr>
                <w:szCs w:val="20"/>
              </w:rPr>
              <w:t xml:space="preserve">Voor het uitvoeren van de wettelijke taken van het CvTE, bedoeld in artikel 2 van de </w:t>
            </w:r>
            <w:hyperlink r:id="rId6">
              <w:r>
                <w:rPr>
                  <w:rStyle w:val="Internetkoppeling"/>
                  <w:szCs w:val="20"/>
                </w:rPr>
                <w:t>Wet College voor toetsen en examens</w:t>
              </w:r>
            </w:hyperlink>
            <w:r>
              <w:rPr>
                <w:szCs w:val="20"/>
              </w:rPr>
              <w:t>, stelt CvTE een computerexamensysteem beschikbaar voor het afnemen van digitale toetsen en examen. Het computerexamensysteem is het middel dat CvTE voorschrijft om de digitale toetsen en examens, waar het CvTE verantwoordelijk voor is, in af te nemen. Voor dit doel is Facet ontwikkeld die acteert vanuit de rol van examinator. Deze rol is primair verantwoordelijk voor het uitvoeren van de volgende taken:</w:t>
            </w:r>
          </w:p>
          <w:p>
            <w:pPr>
              <w:pStyle w:val="Normal"/>
              <w:numPr>
                <w:ilvl w:val="0"/>
                <w:numId w:val="5"/>
              </w:numPr>
              <w:rPr>
                <w:szCs w:val="20"/>
              </w:rPr>
            </w:pPr>
            <w:r>
              <w:rPr>
                <w:szCs w:val="20"/>
              </w:rPr>
              <w:t>Het afnemen van een toets of examen;</w:t>
            </w:r>
          </w:p>
          <w:p>
            <w:pPr>
              <w:pStyle w:val="Normal"/>
              <w:numPr>
                <w:ilvl w:val="0"/>
                <w:numId w:val="5"/>
              </w:numPr>
              <w:rPr>
                <w:szCs w:val="20"/>
              </w:rPr>
            </w:pPr>
            <w:r>
              <w:rPr>
                <w:szCs w:val="20"/>
              </w:rPr>
              <w:t>het beoordelen van het gemaakte werk;</w:t>
            </w:r>
          </w:p>
          <w:p>
            <w:pPr>
              <w:pStyle w:val="Normal"/>
              <w:numPr>
                <w:ilvl w:val="0"/>
                <w:numId w:val="5"/>
              </w:numPr>
              <w:rPr>
                <w:szCs w:val="20"/>
              </w:rPr>
            </w:pPr>
            <w:r>
              <w:rPr>
                <w:szCs w:val="20"/>
              </w:rPr>
              <w:t xml:space="preserve">en het rapporteren van de resultaten, dan wel de scores. </w:t>
            </w:r>
          </w:p>
        </w:tc>
      </w:tr>
      <w:tr>
        <w:trPr>
          <w:trHeight w:val="2701" w:hRule="atLeast"/>
        </w:trPr>
        <w:tc>
          <w:tcPr>
            <w:tcW w:w="1697" w:type="dxa"/>
            <w:tcBorders>
              <w:top w:val="single" w:sz="2" w:space="0" w:color="DDDDDD"/>
              <w:left w:val="single" w:sz="2" w:space="0" w:color="DDDDDD"/>
              <w:bottom w:val="single" w:sz="2" w:space="0" w:color="DDDDDD"/>
              <w:insideH w:val="single" w:sz="2" w:space="0" w:color="DDDDDD"/>
            </w:tcBorders>
            <w:shd w:fill="auto" w:val="clear"/>
          </w:tcPr>
          <w:p>
            <w:pPr>
              <w:pStyle w:val="Normal"/>
              <w:rPr/>
            </w:pPr>
            <w:r>
              <w:rPr>
                <w:rStyle w:val="Sterkaccent"/>
                <w:szCs w:val="20"/>
              </w:rPr>
              <w:t>Implicatie</w:t>
            </w:r>
          </w:p>
        </w:tc>
        <w:tc>
          <w:tcPr>
            <w:tcW w:w="8224"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fill="auto" w:val="clear"/>
            <w:vAlign w:val="center"/>
          </w:tcPr>
          <w:p>
            <w:pPr>
              <w:pStyle w:val="Normal"/>
              <w:rPr/>
            </w:pPr>
            <w:r>
              <w:rPr>
                <w:szCs w:val="20"/>
              </w:rPr>
              <w:t>Vanuit deze context wordt geen aanvullende functionaliteit toegeschreven aan het systeem, anders dan noodzakelijk om bovenstaande activiteiten uit te voeren dan wel een bijdrage te leveren aan de wettelijke taak van het CvTE om een examen of toets op een goede manier af te nemen. Hiervoor dient het computerexamensysteem voorzieningen te bieden die toegepast kunnen worden in de volgende vijf waardeketens:</w:t>
            </w:r>
          </w:p>
          <w:p>
            <w:pPr>
              <w:pStyle w:val="Normal"/>
              <w:numPr>
                <w:ilvl w:val="0"/>
                <w:numId w:val="6"/>
              </w:numPr>
              <w:rPr>
                <w:szCs w:val="20"/>
              </w:rPr>
            </w:pPr>
            <w:r>
              <w:rPr>
                <w:szCs w:val="20"/>
              </w:rPr>
              <w:t>afnemen van een toets/examen;</w:t>
            </w:r>
          </w:p>
          <w:p>
            <w:pPr>
              <w:pStyle w:val="Normal"/>
              <w:numPr>
                <w:ilvl w:val="0"/>
                <w:numId w:val="6"/>
              </w:numPr>
              <w:rPr>
                <w:szCs w:val="20"/>
              </w:rPr>
            </w:pPr>
            <w:r>
              <w:rPr>
                <w:szCs w:val="20"/>
              </w:rPr>
              <w:t>previewen van een toets/examen;</w:t>
            </w:r>
          </w:p>
          <w:p>
            <w:pPr>
              <w:pStyle w:val="Normal"/>
              <w:numPr>
                <w:ilvl w:val="0"/>
                <w:numId w:val="6"/>
              </w:numPr>
              <w:rPr>
                <w:szCs w:val="20"/>
              </w:rPr>
            </w:pPr>
            <w:r>
              <w:rPr>
                <w:szCs w:val="20"/>
              </w:rPr>
              <w:t>corrigeren van een toets/examen;</w:t>
            </w:r>
          </w:p>
          <w:p>
            <w:pPr>
              <w:pStyle w:val="Normal"/>
              <w:numPr>
                <w:ilvl w:val="0"/>
                <w:numId w:val="6"/>
              </w:numPr>
              <w:rPr>
                <w:szCs w:val="20"/>
              </w:rPr>
            </w:pPr>
            <w:r>
              <w:rPr>
                <w:szCs w:val="20"/>
              </w:rPr>
              <w:t>inzage verlenen in een toets/examen en</w:t>
            </w:r>
          </w:p>
          <w:p>
            <w:pPr>
              <w:pStyle w:val="Normal"/>
              <w:numPr>
                <w:ilvl w:val="0"/>
                <w:numId w:val="6"/>
              </w:numPr>
              <w:rPr>
                <w:szCs w:val="20"/>
              </w:rPr>
            </w:pPr>
            <w:r>
              <w:rPr>
                <w:szCs w:val="20"/>
              </w:rPr>
              <w:t>oefenen van een toets/examen.</w:t>
            </w:r>
          </w:p>
        </w:tc>
      </w:tr>
    </w:tbl>
    <w:p>
      <w:pPr>
        <w:pStyle w:val="Normal"/>
        <w:rPr>
          <w:szCs w:val="20"/>
        </w:rPr>
      </w:pPr>
      <w:r>
        <w:rPr>
          <w:szCs w:val="20"/>
        </w:rPr>
      </w:r>
    </w:p>
    <w:tbl>
      <w:tblPr>
        <w:tblW w:w="9937" w:type="dxa"/>
        <w:jc w:val="left"/>
        <w:tblInd w:w="-149" w:type="dxa"/>
        <w:tblBorders>
          <w:top w:val="single" w:sz="2" w:space="0" w:color="DDDDDD"/>
          <w:left w:val="single" w:sz="2" w:space="0" w:color="DDDDDD"/>
          <w:bottom w:val="single" w:sz="2" w:space="0" w:color="DDDDDD"/>
          <w:insideH w:val="single" w:sz="2" w:space="0" w:color="DDDDDD"/>
        </w:tblBorders>
        <w:tblCellMar>
          <w:top w:w="105" w:type="dxa"/>
          <w:left w:w="146" w:type="dxa"/>
          <w:bottom w:w="105" w:type="dxa"/>
          <w:right w:w="150" w:type="dxa"/>
        </w:tblCellMar>
        <w:tblLook w:noVBand="1" w:val="04a0" w:noHBand="0" w:lastColumn="0" w:firstColumn="1" w:lastRow="0" w:firstRow="1"/>
      </w:tblPr>
      <w:tblGrid>
        <w:gridCol w:w="1709"/>
        <w:gridCol w:w="8227"/>
      </w:tblGrid>
      <w:tr>
        <w:trPr>
          <w:trHeight w:val="726" w:hRule="atLeast"/>
        </w:trPr>
        <w:tc>
          <w:tcPr>
            <w:tcW w:w="1709" w:type="dxa"/>
            <w:tcBorders>
              <w:top w:val="single" w:sz="2" w:space="0" w:color="DDDDDD"/>
              <w:left w:val="single" w:sz="2" w:space="0" w:color="DDDDDD"/>
              <w:bottom w:val="single" w:sz="2" w:space="0" w:color="DDDDDD"/>
              <w:insideH w:val="single" w:sz="2" w:space="0" w:color="DDDDDD"/>
            </w:tcBorders>
            <w:shd w:color="auto" w:fill="F0F0F0" w:val="clear"/>
            <w:vAlign w:val="center"/>
          </w:tcPr>
          <w:p>
            <w:pPr>
              <w:pStyle w:val="Normal"/>
              <w:rPr>
                <w:szCs w:val="20"/>
              </w:rPr>
            </w:pPr>
            <w:r>
              <w:rPr>
                <w:szCs w:val="20"/>
              </w:rPr>
              <w:t>[BP 02]</w:t>
            </w:r>
          </w:p>
        </w:tc>
        <w:tc>
          <w:tcPr>
            <w:tcW w:w="8227"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color="auto" w:fill="F0F0F0" w:val="clear"/>
            <w:vAlign w:val="center"/>
          </w:tcPr>
          <w:p>
            <w:pPr>
              <w:pStyle w:val="Normal"/>
              <w:rPr>
                <w:szCs w:val="20"/>
              </w:rPr>
            </w:pPr>
            <w:r>
              <w:rPr>
                <w:szCs w:val="20"/>
              </w:rPr>
              <w:t>Het computerexamensysteem en de organisatie die het beheer hierop uitoefent, respecteert en waarborgt de privacy van de gebruiker van dit systeem.</w:t>
            </w:r>
          </w:p>
        </w:tc>
      </w:tr>
      <w:tr>
        <w:trPr>
          <w:trHeight w:val="2711" w:hRule="atLeast"/>
        </w:trPr>
        <w:tc>
          <w:tcPr>
            <w:tcW w:w="1709" w:type="dxa"/>
            <w:tcBorders>
              <w:top w:val="single" w:sz="2" w:space="0" w:color="DDDDDD"/>
              <w:left w:val="single" w:sz="2" w:space="0" w:color="DDDDDD"/>
              <w:bottom w:val="single" w:sz="2" w:space="0" w:color="DDDDDD"/>
              <w:insideH w:val="single" w:sz="2" w:space="0" w:color="DDDDDD"/>
            </w:tcBorders>
            <w:shd w:fill="auto" w:val="clear"/>
          </w:tcPr>
          <w:p>
            <w:pPr>
              <w:pStyle w:val="Normal"/>
              <w:rPr/>
            </w:pPr>
            <w:r>
              <w:rPr>
                <w:rStyle w:val="Sterkaccent"/>
                <w:szCs w:val="20"/>
              </w:rPr>
              <w:t>Achtergrond</w:t>
            </w:r>
          </w:p>
        </w:tc>
        <w:tc>
          <w:tcPr>
            <w:tcW w:w="8227"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fill="auto" w:val="clear"/>
          </w:tcPr>
          <w:p>
            <w:pPr>
              <w:pStyle w:val="Normal"/>
              <w:rPr>
                <w:szCs w:val="20"/>
              </w:rPr>
            </w:pPr>
            <w:r>
              <w:rPr>
                <w:szCs w:val="20"/>
              </w:rPr>
              <w:t xml:space="preserve">Het computerexamensysteem en de gegevens die hierin verwerkt worden, moeten conform de </w:t>
            </w:r>
            <w:r>
              <w:rPr>
                <w:b/>
                <w:bCs/>
              </w:rPr>
              <w:t xml:space="preserve">Regels ter uitvoering van Verordening (EU) 2016/679 van het Europees Parlement en de Raad van 27 april 2016 </w:t>
            </w:r>
            <w:r>
              <w:rPr>
                <w:szCs w:val="20"/>
              </w:rPr>
              <w:t>worden ontworpen, ontwikkeld en beheerd.</w:t>
            </w:r>
          </w:p>
          <w:p>
            <w:pPr>
              <w:pStyle w:val="Normal"/>
              <w:rPr>
                <w:szCs w:val="20"/>
              </w:rPr>
            </w:pPr>
            <w:r>
              <w:rPr>
                <w:szCs w:val="20"/>
              </w:rPr>
            </w:r>
          </w:p>
          <w:p>
            <w:pPr>
              <w:pStyle w:val="Normal"/>
              <w:rPr/>
            </w:pPr>
            <w:r>
              <w:rPr/>
              <w:t>Referenties:</w:t>
            </w:r>
          </w:p>
          <w:p>
            <w:pPr>
              <w:pStyle w:val="Tekstblok"/>
              <w:numPr>
                <w:ilvl w:val="0"/>
                <w:numId w:val="7"/>
              </w:numPr>
              <w:spacing w:before="0" w:after="0"/>
              <w:rPr>
                <w:szCs w:val="20"/>
              </w:rPr>
            </w:pPr>
            <w:r>
              <w:rPr>
                <w:szCs w:val="20"/>
              </w:rPr>
              <w:t>Uitvoeringswet Algemene verordening gegevensbescherming: </w:t>
            </w:r>
          </w:p>
          <w:p>
            <w:pPr>
              <w:pStyle w:val="Tekstblok"/>
              <w:spacing w:before="0" w:after="0"/>
              <w:ind w:left="720" w:hanging="0"/>
              <w:rPr/>
            </w:pPr>
            <w:hyperlink r:id="rId7">
              <w:r>
                <w:rPr>
                  <w:rStyle w:val="Internetkoppeling"/>
                  <w:szCs w:val="20"/>
                  <w:u w:val="none"/>
                </w:rPr>
                <w:t>https://www.internetconsultatie.nl/uitvoeringswetavg/details</w:t>
              </w:r>
            </w:hyperlink>
          </w:p>
          <w:p>
            <w:pPr>
              <w:pStyle w:val="Tekstblok"/>
              <w:numPr>
                <w:ilvl w:val="0"/>
                <w:numId w:val="16"/>
              </w:numPr>
              <w:spacing w:before="0" w:after="140"/>
              <w:rPr>
                <w:szCs w:val="20"/>
              </w:rPr>
            </w:pPr>
            <w:r>
              <w:rPr>
                <w:szCs w:val="20"/>
              </w:rPr>
              <w:t xml:space="preserve">Wetsvoorstel en toelichting Uitvoeringswet: </w:t>
            </w:r>
            <w:hyperlink r:id="rId8">
              <w:r>
                <w:rPr>
                  <w:rStyle w:val="Internetkoppeling"/>
                  <w:szCs w:val="20"/>
                </w:rPr>
                <w:t>https://www.internetconsultatie.nl/uitvoeringswetavg/document/2637</w:t>
              </w:r>
            </w:hyperlink>
          </w:p>
        </w:tc>
      </w:tr>
      <w:tr>
        <w:trPr>
          <w:trHeight w:val="408" w:hRule="atLeast"/>
        </w:trPr>
        <w:tc>
          <w:tcPr>
            <w:tcW w:w="1709" w:type="dxa"/>
            <w:tcBorders>
              <w:top w:val="single" w:sz="2" w:space="0" w:color="DDDDDD"/>
              <w:left w:val="single" w:sz="2" w:space="0" w:color="DDDDDD"/>
              <w:bottom w:val="single" w:sz="2" w:space="0" w:color="DDDDDD"/>
              <w:insideH w:val="single" w:sz="2" w:space="0" w:color="DDDDDD"/>
            </w:tcBorders>
            <w:shd w:fill="auto" w:val="clear"/>
          </w:tcPr>
          <w:p>
            <w:pPr>
              <w:pStyle w:val="Normal"/>
              <w:rPr/>
            </w:pPr>
            <w:r>
              <w:rPr>
                <w:rStyle w:val="Sterkaccent"/>
                <w:szCs w:val="20"/>
              </w:rPr>
              <w:t>Implicatie</w:t>
            </w:r>
          </w:p>
        </w:tc>
        <w:tc>
          <w:tcPr>
            <w:tcW w:w="8227"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fill="auto" w:val="clear"/>
            <w:vAlign w:val="center"/>
          </w:tcPr>
          <w:p>
            <w:pPr>
              <w:pStyle w:val="Normal"/>
              <w:rPr/>
            </w:pPr>
            <w:r>
              <w:rPr/>
              <w:t>In het systeem mogen geen persoonsgegevens van kandidaten verwerkt worden, anders dan:</w:t>
            </w:r>
          </w:p>
          <w:p>
            <w:pPr>
              <w:pStyle w:val="Normal"/>
              <w:numPr>
                <w:ilvl w:val="0"/>
                <w:numId w:val="8"/>
              </w:numPr>
              <w:rPr>
                <w:szCs w:val="20"/>
              </w:rPr>
            </w:pPr>
            <w:r>
              <w:rPr>
                <w:szCs w:val="20"/>
              </w:rPr>
              <w:t>nodig voor het correct kunnen identificeren van kandidaat ten tijde van de afname, waardoor het gemaakte werk van de kandidaat aan de juiste persoon gekoppeld kan worden, of</w:t>
            </w:r>
          </w:p>
          <w:p>
            <w:pPr>
              <w:pStyle w:val="Normal"/>
              <w:numPr>
                <w:ilvl w:val="0"/>
                <w:numId w:val="8"/>
              </w:numPr>
              <w:rPr>
                <w:szCs w:val="20"/>
              </w:rPr>
            </w:pPr>
            <w:r>
              <w:rPr>
                <w:szCs w:val="20"/>
              </w:rPr>
              <w:t>per wet- of regelgeving is vastgesteld.</w:t>
            </w:r>
          </w:p>
          <w:p>
            <w:pPr>
              <w:pStyle w:val="Normal"/>
              <w:rPr/>
            </w:pPr>
            <w:r>
              <w:rPr/>
            </w:r>
          </w:p>
          <w:p>
            <w:pPr>
              <w:pStyle w:val="Normal"/>
              <w:rPr/>
            </w:pPr>
            <w:r>
              <w:rPr/>
              <w:t>Voor een correcte afname dient een unieke identificatie, zoals het ECK-ID, en een inlogaccount voldoende te zijn. Ten behoeve van het identificatieproces ten tijde van de afname door de afnamelocatie kunnen aanvullende identificerende gegevens gehanteerd worden.</w:t>
            </w:r>
          </w:p>
          <w:p>
            <w:pPr>
              <w:pStyle w:val="Normal"/>
              <w:rPr/>
            </w:pPr>
            <w:r>
              <w:rPr/>
            </w:r>
          </w:p>
          <w:p>
            <w:pPr>
              <w:pStyle w:val="Normal"/>
              <w:rPr/>
            </w:pPr>
            <w:r>
              <w:rPr/>
              <w:t>De uitwisseling van gegevens dient gebaseerd te zijn op de EDEXML / UWLR standaarden, waarbij voor de identificatie van de leerling het ECK-ID gehanteerd wordt. Daar waar het niet mogelijk is, dient een identificatie gebruikt te worden, die vanuit Facet optiek niet herleidbaar is tot een persoon.</w:t>
            </w:r>
          </w:p>
        </w:tc>
      </w:tr>
    </w:tbl>
    <w:p>
      <w:pPr>
        <w:pStyle w:val="Normal"/>
        <w:rPr>
          <w:szCs w:val="20"/>
        </w:rPr>
      </w:pPr>
      <w:r>
        <w:rPr>
          <w:szCs w:val="20"/>
        </w:rPr>
      </w:r>
    </w:p>
    <w:tbl>
      <w:tblPr>
        <w:tblW w:w="9982" w:type="dxa"/>
        <w:jc w:val="left"/>
        <w:tblInd w:w="-190" w:type="dxa"/>
        <w:tblBorders>
          <w:top w:val="single" w:sz="2" w:space="0" w:color="DDDDDD"/>
          <w:left w:val="single" w:sz="2" w:space="0" w:color="DDDDDD"/>
          <w:bottom w:val="single" w:sz="2" w:space="0" w:color="DDDDDD"/>
          <w:insideH w:val="single" w:sz="2" w:space="0" w:color="DDDDDD"/>
        </w:tblBorders>
        <w:tblCellMar>
          <w:top w:w="108" w:type="dxa"/>
          <w:left w:w="104" w:type="dxa"/>
          <w:bottom w:w="108" w:type="dxa"/>
          <w:right w:w="108" w:type="dxa"/>
        </w:tblCellMar>
        <w:tblLook w:noVBand="1" w:val="04a0" w:noHBand="0" w:lastColumn="0" w:firstColumn="1" w:lastRow="0" w:firstRow="1"/>
      </w:tblPr>
      <w:tblGrid>
        <w:gridCol w:w="1691"/>
        <w:gridCol w:w="8290"/>
      </w:tblGrid>
      <w:tr>
        <w:trPr/>
        <w:tc>
          <w:tcPr>
            <w:tcW w:w="1691" w:type="dxa"/>
            <w:tcBorders>
              <w:top w:val="single" w:sz="2" w:space="0" w:color="DDDDDD"/>
              <w:left w:val="single" w:sz="2" w:space="0" w:color="DDDDDD"/>
              <w:bottom w:val="single" w:sz="2" w:space="0" w:color="DDDDDD"/>
              <w:insideH w:val="single" w:sz="2" w:space="0" w:color="DDDDDD"/>
            </w:tcBorders>
            <w:shd w:color="auto" w:fill="F0F0F0" w:val="clear"/>
            <w:vAlign w:val="center"/>
          </w:tcPr>
          <w:p>
            <w:pPr>
              <w:pStyle w:val="Normal"/>
              <w:rPr>
                <w:szCs w:val="20"/>
              </w:rPr>
            </w:pPr>
            <w:r>
              <w:rPr>
                <w:szCs w:val="20"/>
              </w:rPr>
              <w:t>[BP 03]</w:t>
            </w:r>
          </w:p>
        </w:tc>
        <w:tc>
          <w:tcPr>
            <w:tcW w:w="8290"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color="auto" w:fill="F0F0F0" w:val="clear"/>
            <w:tcMar>
              <w:top w:w="105" w:type="dxa"/>
              <w:left w:w="143" w:type="dxa"/>
              <w:bottom w:w="105" w:type="dxa"/>
              <w:right w:w="150" w:type="dxa"/>
            </w:tcMar>
            <w:vAlign w:val="center"/>
          </w:tcPr>
          <w:p>
            <w:pPr>
              <w:pStyle w:val="Normal"/>
              <w:rPr>
                <w:szCs w:val="20"/>
              </w:rPr>
            </w:pPr>
            <w:r>
              <w:rPr>
                <w:szCs w:val="20"/>
              </w:rPr>
              <w:t>Geheimhouding van de toets- en exameninhoud en het gemaakte werk van de kandidaat is cruciaal.</w:t>
            </w:r>
          </w:p>
        </w:tc>
      </w:tr>
      <w:tr>
        <w:trPr/>
        <w:tc>
          <w:tcPr>
            <w:tcW w:w="1691" w:type="dxa"/>
            <w:tcBorders>
              <w:top w:val="single" w:sz="2" w:space="0" w:color="DDDDDD"/>
              <w:left w:val="single" w:sz="2" w:space="0" w:color="DDDDDD"/>
              <w:bottom w:val="single" w:sz="2" w:space="0" w:color="DDDDDD"/>
              <w:insideH w:val="single" w:sz="2" w:space="0" w:color="DDDDDD"/>
            </w:tcBorders>
            <w:shd w:fill="auto" w:val="clear"/>
          </w:tcPr>
          <w:p>
            <w:pPr>
              <w:pStyle w:val="Normal"/>
              <w:rPr/>
            </w:pPr>
            <w:r>
              <w:rPr>
                <w:rStyle w:val="Sterkaccent"/>
                <w:szCs w:val="20"/>
              </w:rPr>
              <w:t>Achtergrond</w:t>
            </w:r>
          </w:p>
        </w:tc>
        <w:tc>
          <w:tcPr>
            <w:tcW w:w="8290"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fill="auto" w:val="clear"/>
            <w:tcMar>
              <w:top w:w="105" w:type="dxa"/>
              <w:left w:w="143" w:type="dxa"/>
              <w:bottom w:w="105" w:type="dxa"/>
              <w:right w:w="150" w:type="dxa"/>
            </w:tcMar>
            <w:vAlign w:val="center"/>
          </w:tcPr>
          <w:p>
            <w:pPr>
              <w:pStyle w:val="Normal"/>
              <w:rPr/>
            </w:pPr>
            <w:r>
              <w:rPr>
                <w:szCs w:val="20"/>
              </w:rPr>
              <w:t>Het CvTE is namens de overheid verantwoordelijk voor de kwaliteit en het niveau van de centrale toetsen en examens in Nederland.</w:t>
            </w:r>
            <w:r>
              <w:rPr>
                <w:rStyle w:val="Voetnootanker"/>
                <w:rStyle w:val="Voetnootanker"/>
                <w:szCs w:val="20"/>
              </w:rPr>
              <w:footnoteReference w:id="3"/>
            </w:r>
            <w:r>
              <w:rPr>
                <w:szCs w:val="20"/>
              </w:rPr>
              <w:t xml:space="preserve"> Om de kwaliteit te kunnen waarborgen is geheimhouding van het toets- en examenmateriaal alsmede het gemaakte werk van de kandidaat cruciaal. </w:t>
            </w:r>
          </w:p>
          <w:p>
            <w:pPr>
              <w:pStyle w:val="Normal"/>
              <w:rPr>
                <w:szCs w:val="20"/>
              </w:rPr>
            </w:pPr>
            <w:r>
              <w:rPr>
                <w:szCs w:val="20"/>
              </w:rPr>
              <w:t>Immers het vroegtijdig beschikbaar komen van exameninhoud doet afbreuk aan het examenstelsel en daarmee aan het creëren van een gelijkwaardige uitgangspositie vanuit de kandidaat.</w:t>
            </w:r>
          </w:p>
        </w:tc>
      </w:tr>
      <w:tr>
        <w:trPr>
          <w:trHeight w:val="4797" w:hRule="atLeast"/>
        </w:trPr>
        <w:tc>
          <w:tcPr>
            <w:tcW w:w="1691" w:type="dxa"/>
            <w:tcBorders>
              <w:top w:val="single" w:sz="2" w:space="0" w:color="DDDDDD"/>
              <w:left w:val="single" w:sz="2" w:space="0" w:color="DDDDDD"/>
              <w:bottom w:val="single" w:sz="2" w:space="0" w:color="DDDDDD"/>
              <w:insideH w:val="single" w:sz="2" w:space="0" w:color="DDDDDD"/>
            </w:tcBorders>
            <w:shd w:fill="auto" w:val="clear"/>
          </w:tcPr>
          <w:p>
            <w:pPr>
              <w:pStyle w:val="Normal"/>
              <w:rPr/>
            </w:pPr>
            <w:r>
              <w:rPr>
                <w:rStyle w:val="Sterkaccent"/>
                <w:szCs w:val="20"/>
              </w:rPr>
              <w:t>Implicatie</w:t>
            </w:r>
          </w:p>
        </w:tc>
        <w:tc>
          <w:tcPr>
            <w:tcW w:w="8290"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fill="auto" w:val="clear"/>
            <w:tcMar>
              <w:top w:w="105" w:type="dxa"/>
              <w:left w:w="143" w:type="dxa"/>
              <w:bottom w:w="105" w:type="dxa"/>
              <w:right w:w="150" w:type="dxa"/>
            </w:tcMar>
            <w:vAlign w:val="center"/>
          </w:tcPr>
          <w:p>
            <w:pPr>
              <w:pStyle w:val="Normal"/>
              <w:rPr>
                <w:szCs w:val="20"/>
              </w:rPr>
            </w:pPr>
            <w:r>
              <w:rPr>
                <w:szCs w:val="20"/>
              </w:rPr>
              <w:t>Daar waar het digitale toetsen en examens betreft dient het CvTE een veilige toetsketen te creëren. Dit betekent dat het CvTE de geheimhouding van de toets of het examen, alsook het gemaakte werk van de kandidaat, dient te borgen vanaf het moment dat het examen of de toets door de leverancier wordt opgeleverd tot het moment dat de toets of het examen niet meer als wettelijk examen gebruikt wordt. Dit betekent dat het CvTE zorg dient te dragen voor:</w:t>
            </w:r>
          </w:p>
          <w:p>
            <w:pPr>
              <w:pStyle w:val="Normal"/>
              <w:numPr>
                <w:ilvl w:val="0"/>
                <w:numId w:val="8"/>
              </w:numPr>
              <w:rPr>
                <w:szCs w:val="20"/>
              </w:rPr>
            </w:pPr>
            <w:r>
              <w:rPr>
                <w:szCs w:val="20"/>
              </w:rPr>
              <w:t>een omgeving waarin toets en examen veilig getransporteerd kan worden tussen examenleveranciers en het CvTE;</w:t>
            </w:r>
          </w:p>
          <w:p>
            <w:pPr>
              <w:pStyle w:val="Normal"/>
              <w:numPr>
                <w:ilvl w:val="0"/>
                <w:numId w:val="8"/>
              </w:numPr>
              <w:rPr>
                <w:szCs w:val="20"/>
              </w:rPr>
            </w:pPr>
            <w:r>
              <w:rPr>
                <w:szCs w:val="20"/>
              </w:rPr>
              <w:t>versleuteling van de toetsen en examens in het computerexamensysteem;</w:t>
            </w:r>
          </w:p>
          <w:p>
            <w:pPr>
              <w:pStyle w:val="Normal"/>
              <w:numPr>
                <w:ilvl w:val="0"/>
                <w:numId w:val="8"/>
              </w:numPr>
              <w:rPr/>
            </w:pPr>
            <w:r>
              <w:rPr>
                <w:szCs w:val="20"/>
              </w:rPr>
              <w:t xml:space="preserve">een veilige afnameomgeving voor de kandidaat waarin toegang tot andere bronnen dan voor de daadwerkelijke afname gedeactiveerd is. Tevens zijn er voorzieningen getroffen die voorkomen dat de exameninhoud ongeoorloofd de omgeving kan verlaten; </w:t>
            </w:r>
          </w:p>
          <w:p>
            <w:pPr>
              <w:pStyle w:val="Normal"/>
              <w:numPr>
                <w:ilvl w:val="0"/>
                <w:numId w:val="8"/>
              </w:numPr>
              <w:rPr/>
            </w:pPr>
            <w:r>
              <w:rPr>
                <w:szCs w:val="20"/>
              </w:rPr>
              <w:t xml:space="preserve">dat er geen </w:t>
            </w:r>
            <w:r>
              <w:rPr>
                <w:i/>
                <w:iCs/>
                <w:szCs w:val="20"/>
              </w:rPr>
              <w:t>directe</w:t>
            </w:r>
            <w:r>
              <w:rPr>
                <w:szCs w:val="20"/>
              </w:rPr>
              <w:t xml:space="preserve"> toegang mogelijk is tot de gehele toets- en exameninhoud voor gebruikers en beheerders van het systeem;</w:t>
            </w:r>
          </w:p>
          <w:p>
            <w:pPr>
              <w:pStyle w:val="Normal"/>
              <w:numPr>
                <w:ilvl w:val="0"/>
                <w:numId w:val="8"/>
              </w:numPr>
              <w:rPr/>
            </w:pPr>
            <w:r>
              <w:rPr>
                <w:szCs w:val="20"/>
              </w:rPr>
              <w:t xml:space="preserve">het naleven van de richtlijnen van de Baseline Informatiebeveiliging Rijksdienst (BIR), versie 2017: </w:t>
            </w:r>
            <w:hyperlink r:id="rId9">
              <w:r>
                <w:rPr>
                  <w:rStyle w:val="Internetkoppeling"/>
                  <w:szCs w:val="20"/>
                </w:rPr>
                <w:t>https://www.earonline.nl/index.php/BIR-Baseline_Informatiebeveiliging_Rijksdienst</w:t>
              </w:r>
            </w:hyperlink>
            <w:r>
              <w:rPr>
                <w:szCs w:val="20"/>
              </w:rPr>
              <w:t>;</w:t>
            </w:r>
          </w:p>
          <w:p>
            <w:pPr>
              <w:pStyle w:val="Normal"/>
              <w:numPr>
                <w:ilvl w:val="0"/>
                <w:numId w:val="8"/>
              </w:numPr>
              <w:rPr/>
            </w:pPr>
            <w:r>
              <w:rPr>
                <w:szCs w:val="20"/>
              </w:rPr>
              <w:t xml:space="preserve">dat de inrichting van het computerexamensysteem geschiedt conform de BEICOR richtlijnen. </w:t>
            </w:r>
            <w:r>
              <w:rPr>
                <w:i/>
                <w:iCs/>
                <w:szCs w:val="20"/>
              </w:rPr>
              <w:t>In de BEICOR staan de eisen beschreven waaraan de dienstverlening en de informatieverwerking moeten voldoen.</w:t>
            </w:r>
          </w:p>
        </w:tc>
      </w:tr>
    </w:tbl>
    <w:p>
      <w:pPr>
        <w:pStyle w:val="Normal"/>
        <w:rPr>
          <w:szCs w:val="20"/>
        </w:rPr>
      </w:pPr>
      <w:r>
        <w:rPr>
          <w:szCs w:val="20"/>
        </w:rPr>
      </w:r>
      <w:r>
        <w:br w:type="page"/>
      </w:r>
    </w:p>
    <w:tbl>
      <w:tblPr>
        <w:tblW w:w="9982" w:type="dxa"/>
        <w:jc w:val="left"/>
        <w:tblInd w:w="-190" w:type="dxa"/>
        <w:tblBorders>
          <w:top w:val="single" w:sz="2" w:space="0" w:color="DDDDDD"/>
          <w:left w:val="single" w:sz="2" w:space="0" w:color="DDDDDD"/>
          <w:bottom w:val="single" w:sz="2" w:space="0" w:color="DDDDDD"/>
          <w:insideH w:val="single" w:sz="2" w:space="0" w:color="DDDDDD"/>
        </w:tblBorders>
        <w:tblCellMar>
          <w:top w:w="108" w:type="dxa"/>
          <w:left w:w="104" w:type="dxa"/>
          <w:bottom w:w="108" w:type="dxa"/>
          <w:right w:w="108" w:type="dxa"/>
        </w:tblCellMar>
        <w:tblLook w:noVBand="1" w:val="04a0" w:noHBand="0" w:lastColumn="0" w:firstColumn="1" w:lastRow="0" w:firstRow="1"/>
      </w:tblPr>
      <w:tblGrid>
        <w:gridCol w:w="1691"/>
        <w:gridCol w:w="8290"/>
      </w:tblGrid>
      <w:tr>
        <w:trPr/>
        <w:tc>
          <w:tcPr>
            <w:tcW w:w="1691" w:type="dxa"/>
            <w:tcBorders>
              <w:top w:val="single" w:sz="2" w:space="0" w:color="DDDDDD"/>
              <w:left w:val="single" w:sz="2" w:space="0" w:color="DDDDDD"/>
              <w:bottom w:val="single" w:sz="2" w:space="0" w:color="DDDDDD"/>
              <w:insideH w:val="single" w:sz="2" w:space="0" w:color="DDDDDD"/>
            </w:tcBorders>
            <w:shd w:color="auto" w:fill="F0F0F0" w:val="clear"/>
            <w:vAlign w:val="center"/>
          </w:tcPr>
          <w:p>
            <w:pPr>
              <w:pStyle w:val="Normal"/>
              <w:pageBreakBefore/>
              <w:rPr>
                <w:szCs w:val="20"/>
              </w:rPr>
            </w:pPr>
            <w:r>
              <w:rPr>
                <w:szCs w:val="20"/>
              </w:rPr>
              <w:t>[BP 04]</w:t>
            </w:r>
          </w:p>
        </w:tc>
        <w:tc>
          <w:tcPr>
            <w:tcW w:w="8290"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color="auto" w:fill="F0F0F0" w:val="clear"/>
            <w:tcMar>
              <w:top w:w="105" w:type="dxa"/>
              <w:left w:w="143" w:type="dxa"/>
              <w:bottom w:w="105" w:type="dxa"/>
              <w:right w:w="150" w:type="dxa"/>
            </w:tcMar>
            <w:vAlign w:val="center"/>
          </w:tcPr>
          <w:p>
            <w:pPr>
              <w:pStyle w:val="Normal"/>
              <w:rPr>
                <w:szCs w:val="20"/>
              </w:rPr>
            </w:pPr>
            <w:r>
              <w:rPr>
                <w:szCs w:val="20"/>
              </w:rPr>
              <w:t>De toets of het examen moet worden weergegeven zoals de constructeur het bedoeld heeft.</w:t>
            </w:r>
          </w:p>
        </w:tc>
      </w:tr>
      <w:tr>
        <w:trPr/>
        <w:tc>
          <w:tcPr>
            <w:tcW w:w="1691" w:type="dxa"/>
            <w:tcBorders>
              <w:top w:val="single" w:sz="2" w:space="0" w:color="DDDDDD"/>
              <w:left w:val="single" w:sz="2" w:space="0" w:color="DDDDDD"/>
              <w:bottom w:val="single" w:sz="2" w:space="0" w:color="DDDDDD"/>
              <w:insideH w:val="single" w:sz="2" w:space="0" w:color="DDDDDD"/>
            </w:tcBorders>
            <w:shd w:fill="auto" w:val="clear"/>
          </w:tcPr>
          <w:p>
            <w:pPr>
              <w:pStyle w:val="Normal"/>
              <w:rPr/>
            </w:pPr>
            <w:r>
              <w:rPr>
                <w:rStyle w:val="Sterkaccent"/>
                <w:szCs w:val="20"/>
              </w:rPr>
              <w:t>Achtergrond</w:t>
            </w:r>
          </w:p>
        </w:tc>
        <w:tc>
          <w:tcPr>
            <w:tcW w:w="8290"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fill="auto" w:val="clear"/>
            <w:tcMar>
              <w:top w:w="105" w:type="dxa"/>
              <w:left w:w="143" w:type="dxa"/>
              <w:bottom w:w="105" w:type="dxa"/>
              <w:right w:w="150" w:type="dxa"/>
            </w:tcMar>
            <w:vAlign w:val="center"/>
          </w:tcPr>
          <w:p>
            <w:pPr>
              <w:pStyle w:val="Normal"/>
              <w:rPr/>
            </w:pPr>
            <w:r>
              <w:rPr>
                <w:szCs w:val="20"/>
              </w:rPr>
              <w:t xml:space="preserve">Het CvTE is namens de overheid </w:t>
            </w:r>
            <w:hyperlink r:id="rId10">
              <w:r>
                <w:rPr>
                  <w:rStyle w:val="ListLabel106"/>
                </w:rPr>
                <w:t>verantwoordelijk</w:t>
              </w:r>
            </w:hyperlink>
            <w:r>
              <w:rPr>
                <w:szCs w:val="20"/>
              </w:rPr>
              <w:t xml:space="preserve"> voor de kwaliteit en het niveau van de centrale toetsen en examens in Nederland. Om de kwaliteit te kunnen waarborgen is geheimhouding van het toets- en examenmateriaal alsmede het gemaakte werk van de kandidaat cruciaal. Immers, het vroegtijdig beschikbaar komen van exameninhoud doet afbreuk aan het examenstelsel en daarmee aan het creëren van een gelijkwaardige uitgangspositie voor kandidaten. </w:t>
            </w:r>
          </w:p>
        </w:tc>
      </w:tr>
      <w:tr>
        <w:trPr>
          <w:trHeight w:val="2094" w:hRule="atLeast"/>
        </w:trPr>
        <w:tc>
          <w:tcPr>
            <w:tcW w:w="1691" w:type="dxa"/>
            <w:tcBorders>
              <w:top w:val="single" w:sz="2" w:space="0" w:color="DDDDDD"/>
              <w:left w:val="single" w:sz="2" w:space="0" w:color="DDDDDD"/>
              <w:bottom w:val="single" w:sz="2" w:space="0" w:color="DDDDDD"/>
              <w:insideH w:val="single" w:sz="2" w:space="0" w:color="DDDDDD"/>
            </w:tcBorders>
            <w:shd w:fill="auto" w:val="clear"/>
          </w:tcPr>
          <w:p>
            <w:pPr>
              <w:pStyle w:val="Normal"/>
              <w:rPr/>
            </w:pPr>
            <w:r>
              <w:rPr>
                <w:rStyle w:val="Sterkaccent"/>
                <w:szCs w:val="20"/>
              </w:rPr>
              <w:t>Implicatie</w:t>
            </w:r>
          </w:p>
        </w:tc>
        <w:tc>
          <w:tcPr>
            <w:tcW w:w="8290"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fill="auto" w:val="clear"/>
            <w:tcMar>
              <w:top w:w="105" w:type="dxa"/>
              <w:left w:w="143" w:type="dxa"/>
              <w:bottom w:w="105" w:type="dxa"/>
              <w:right w:w="150" w:type="dxa"/>
            </w:tcMar>
            <w:vAlign w:val="center"/>
          </w:tcPr>
          <w:p>
            <w:pPr>
              <w:pStyle w:val="Normal"/>
              <w:numPr>
                <w:ilvl w:val="0"/>
                <w:numId w:val="8"/>
              </w:numPr>
              <w:rPr>
                <w:szCs w:val="20"/>
              </w:rPr>
            </w:pPr>
            <w:r>
              <w:rPr>
                <w:szCs w:val="20"/>
              </w:rPr>
              <w:t>De gebruikte mediaformaten dienen gebaseerd te zijn op Open standaarden en vrij van patenten;</w:t>
            </w:r>
          </w:p>
          <w:p>
            <w:pPr>
              <w:pStyle w:val="Normal"/>
              <w:numPr>
                <w:ilvl w:val="0"/>
                <w:numId w:val="8"/>
              </w:numPr>
              <w:rPr>
                <w:szCs w:val="20"/>
              </w:rPr>
            </w:pPr>
            <w:r>
              <w:rPr>
                <w:szCs w:val="20"/>
              </w:rPr>
              <w:t>Het CvTE heeft daarop de bewuste keuze gemaakt om toetsen en examens, die onder zijn wettelijke taak vallen te baserenop de QTI standaard;</w:t>
            </w:r>
          </w:p>
          <w:p>
            <w:pPr>
              <w:pStyle w:val="Normal"/>
              <w:numPr>
                <w:ilvl w:val="0"/>
                <w:numId w:val="8"/>
              </w:numPr>
              <w:rPr>
                <w:szCs w:val="20"/>
              </w:rPr>
            </w:pPr>
            <w:r>
              <w:rPr>
                <w:szCs w:val="20"/>
              </w:rPr>
              <w:t>Om de opmaak en de verwerking van alle ontwikkelde en vastgestelde items zo veel mogelijk te garanderen dienen alle devices uitgerust te worden met eenzelfde renderings-engine (web-browser) of varianten van renderings-engines die in ieder geval dezelfde broncode delen. Dit vermindert de kans op afwijkend gedrag tijdens een afname.</w:t>
            </w:r>
          </w:p>
        </w:tc>
      </w:tr>
    </w:tbl>
    <w:p>
      <w:pPr>
        <w:pStyle w:val="Normal"/>
        <w:rPr>
          <w:szCs w:val="20"/>
        </w:rPr>
      </w:pPr>
      <w:r>
        <w:rPr>
          <w:szCs w:val="20"/>
        </w:rPr>
      </w:r>
    </w:p>
    <w:tbl>
      <w:tblPr>
        <w:tblW w:w="9982" w:type="dxa"/>
        <w:jc w:val="left"/>
        <w:tblInd w:w="-190" w:type="dxa"/>
        <w:tblBorders>
          <w:top w:val="single" w:sz="2" w:space="0" w:color="DDDDDD"/>
          <w:left w:val="single" w:sz="2" w:space="0" w:color="DDDDDD"/>
          <w:bottom w:val="single" w:sz="2" w:space="0" w:color="DDDDDD"/>
          <w:insideH w:val="single" w:sz="2" w:space="0" w:color="DDDDDD"/>
        </w:tblBorders>
        <w:tblCellMar>
          <w:top w:w="108" w:type="dxa"/>
          <w:left w:w="104" w:type="dxa"/>
          <w:bottom w:w="108" w:type="dxa"/>
          <w:right w:w="108" w:type="dxa"/>
        </w:tblCellMar>
        <w:tblLook w:noVBand="1" w:val="04a0" w:noHBand="0" w:lastColumn="0" w:firstColumn="1" w:lastRow="0" w:firstRow="1"/>
      </w:tblPr>
      <w:tblGrid>
        <w:gridCol w:w="1691"/>
        <w:gridCol w:w="8290"/>
      </w:tblGrid>
      <w:tr>
        <w:trPr/>
        <w:tc>
          <w:tcPr>
            <w:tcW w:w="1691" w:type="dxa"/>
            <w:tcBorders>
              <w:top w:val="single" w:sz="2" w:space="0" w:color="DDDDDD"/>
              <w:left w:val="single" w:sz="2" w:space="0" w:color="DDDDDD"/>
              <w:bottom w:val="single" w:sz="2" w:space="0" w:color="DDDDDD"/>
              <w:insideH w:val="single" w:sz="2" w:space="0" w:color="DDDDDD"/>
            </w:tcBorders>
            <w:shd w:color="auto" w:fill="F0F0F0" w:val="clear"/>
            <w:vAlign w:val="center"/>
          </w:tcPr>
          <w:p>
            <w:pPr>
              <w:pStyle w:val="Normal"/>
              <w:rPr>
                <w:szCs w:val="20"/>
              </w:rPr>
            </w:pPr>
            <w:r>
              <w:rPr>
                <w:szCs w:val="20"/>
              </w:rPr>
              <w:t>[BP 05]</w:t>
            </w:r>
          </w:p>
        </w:tc>
        <w:tc>
          <w:tcPr>
            <w:tcW w:w="8290"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color="auto" w:fill="F0F0F0" w:val="clear"/>
            <w:tcMar>
              <w:top w:w="105" w:type="dxa"/>
              <w:left w:w="143" w:type="dxa"/>
              <w:bottom w:w="105" w:type="dxa"/>
              <w:right w:w="150" w:type="dxa"/>
            </w:tcMar>
            <w:vAlign w:val="center"/>
          </w:tcPr>
          <w:p>
            <w:pPr>
              <w:pStyle w:val="Normal"/>
              <w:rPr>
                <w:szCs w:val="20"/>
              </w:rPr>
            </w:pPr>
            <w:r>
              <w:rPr>
                <w:szCs w:val="20"/>
              </w:rPr>
              <w:t>Het gemaakte werk van de kandidaat dient in originele vorm beschikbaar te zijn voor inzage gedurende de wettelijke termijn die voor het examen staat.</w:t>
            </w:r>
          </w:p>
        </w:tc>
      </w:tr>
      <w:tr>
        <w:trPr/>
        <w:tc>
          <w:tcPr>
            <w:tcW w:w="1691" w:type="dxa"/>
            <w:tcBorders>
              <w:top w:val="single" w:sz="2" w:space="0" w:color="DDDDDD"/>
              <w:left w:val="single" w:sz="2" w:space="0" w:color="DDDDDD"/>
              <w:bottom w:val="single" w:sz="2" w:space="0" w:color="DDDDDD"/>
              <w:insideH w:val="single" w:sz="2" w:space="0" w:color="DDDDDD"/>
            </w:tcBorders>
            <w:shd w:fill="auto" w:val="clear"/>
          </w:tcPr>
          <w:p>
            <w:pPr>
              <w:pStyle w:val="Normal"/>
              <w:rPr/>
            </w:pPr>
            <w:r>
              <w:rPr>
                <w:rStyle w:val="Sterkaccent"/>
                <w:szCs w:val="20"/>
              </w:rPr>
              <w:t>Achtergrond</w:t>
            </w:r>
          </w:p>
        </w:tc>
        <w:tc>
          <w:tcPr>
            <w:tcW w:w="8290"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fill="auto" w:val="clear"/>
            <w:tcMar>
              <w:top w:w="105" w:type="dxa"/>
              <w:left w:w="143" w:type="dxa"/>
              <w:bottom w:w="105" w:type="dxa"/>
              <w:right w:w="150" w:type="dxa"/>
            </w:tcMar>
            <w:vAlign w:val="center"/>
          </w:tcPr>
          <w:p>
            <w:pPr>
              <w:pStyle w:val="Normal"/>
              <w:rPr>
                <w:szCs w:val="20"/>
              </w:rPr>
            </w:pPr>
            <w:r>
              <w:rPr>
                <w:szCs w:val="20"/>
              </w:rPr>
              <w:t>Rekening houdend met de wettelijk verplichting dat een kandidaat inzage mag hebben in het gemaakte werk en rekening houdend met de maximale duur van 5 jaar voor VO-examens dient het computerexamensysteem voorzieningen te treffen voor het jaarlijks archiveren van het gemaakte werk, inclusief de bijbehorende toetsen en examens. En daarbij de mogelijkheid te hebben om de gemaakte toetsen tot 5 jaar na afname weer te geven in de originele vorm.</w:t>
              <w:br/>
              <w:t>Per type toets en examen gelden andere wettelijke bewaartermijnen.</w:t>
            </w:r>
          </w:p>
          <w:p>
            <w:pPr>
              <w:pStyle w:val="Normal"/>
              <w:rPr>
                <w:szCs w:val="20"/>
              </w:rPr>
            </w:pPr>
            <w:r>
              <w:rPr>
                <w:szCs w:val="20"/>
              </w:rPr>
            </w:r>
          </w:p>
          <w:p>
            <w:pPr>
              <w:pStyle w:val="Normal"/>
              <w:rPr>
                <w:szCs w:val="20"/>
              </w:rPr>
            </w:pPr>
            <w:r>
              <w:rPr>
                <w:szCs w:val="20"/>
              </w:rPr>
              <w:t>Referentie:</w:t>
            </w:r>
          </w:p>
          <w:p>
            <w:pPr>
              <w:pStyle w:val="ListParagraph"/>
              <w:numPr>
                <w:ilvl w:val="0"/>
                <w:numId w:val="16"/>
              </w:numPr>
              <w:rPr/>
            </w:pPr>
            <w:r>
              <w:rPr>
                <w:sz w:val="20"/>
                <w:szCs w:val="20"/>
              </w:rPr>
              <w:t>Archiefwet 1995: </w:t>
            </w:r>
            <w:hyperlink r:id="rId11">
              <w:r>
                <w:rPr>
                  <w:rStyle w:val="Internetkoppeling"/>
                  <w:sz w:val="20"/>
                  <w:szCs w:val="20"/>
                  <w:u w:val="none"/>
                </w:rPr>
                <w:t>http://wetten.overheid.nl/BWBR0007376/2015-07-18</w:t>
              </w:r>
            </w:hyperlink>
          </w:p>
        </w:tc>
      </w:tr>
      <w:tr>
        <w:trPr>
          <w:trHeight w:val="861" w:hRule="atLeast"/>
        </w:trPr>
        <w:tc>
          <w:tcPr>
            <w:tcW w:w="1691" w:type="dxa"/>
            <w:tcBorders>
              <w:top w:val="single" w:sz="2" w:space="0" w:color="DDDDDD"/>
              <w:left w:val="single" w:sz="2" w:space="0" w:color="DDDDDD"/>
              <w:bottom w:val="single" w:sz="2" w:space="0" w:color="DDDDDD"/>
              <w:insideH w:val="single" w:sz="2" w:space="0" w:color="DDDDDD"/>
            </w:tcBorders>
            <w:shd w:fill="auto" w:val="clear"/>
          </w:tcPr>
          <w:p>
            <w:pPr>
              <w:pStyle w:val="Normal"/>
              <w:rPr/>
            </w:pPr>
            <w:r>
              <w:rPr>
                <w:rStyle w:val="Sterkaccent"/>
                <w:szCs w:val="20"/>
              </w:rPr>
              <w:t>Implicatie</w:t>
            </w:r>
          </w:p>
        </w:tc>
        <w:tc>
          <w:tcPr>
            <w:tcW w:w="8290"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fill="auto" w:val="clear"/>
            <w:tcMar>
              <w:top w:w="105" w:type="dxa"/>
              <w:left w:w="143" w:type="dxa"/>
              <w:bottom w:w="105" w:type="dxa"/>
              <w:right w:w="150" w:type="dxa"/>
            </w:tcMar>
            <w:vAlign w:val="center"/>
          </w:tcPr>
          <w:p>
            <w:pPr>
              <w:pStyle w:val="Normal"/>
              <w:rPr>
                <w:szCs w:val="20"/>
              </w:rPr>
            </w:pPr>
            <w:r>
              <w:rPr>
                <w:szCs w:val="20"/>
              </w:rPr>
              <w:t xml:space="preserve">Het CvTE dient er zorg voor te dragen dat het gemaakte werk, inclusief de toegekende score, in originele vorm beschikbaar blijft na afname. Dit conform de wettelijke termijn die daar voor staat. </w:t>
            </w:r>
          </w:p>
        </w:tc>
      </w:tr>
    </w:tbl>
    <w:p>
      <w:pPr>
        <w:pStyle w:val="Normal"/>
        <w:rPr>
          <w:szCs w:val="20"/>
        </w:rPr>
      </w:pPr>
      <w:r>
        <w:rPr>
          <w:szCs w:val="20"/>
        </w:rPr>
      </w:r>
    </w:p>
    <w:tbl>
      <w:tblPr>
        <w:tblW w:w="9982" w:type="dxa"/>
        <w:jc w:val="left"/>
        <w:tblInd w:w="-190" w:type="dxa"/>
        <w:tblBorders>
          <w:top w:val="single" w:sz="2" w:space="0" w:color="DDDDDD"/>
          <w:left w:val="single" w:sz="2" w:space="0" w:color="DDDDDD"/>
          <w:bottom w:val="single" w:sz="2" w:space="0" w:color="DDDDDD"/>
          <w:insideH w:val="single" w:sz="2" w:space="0" w:color="DDDDDD"/>
        </w:tblBorders>
        <w:tblCellMar>
          <w:top w:w="108" w:type="dxa"/>
          <w:left w:w="104" w:type="dxa"/>
          <w:bottom w:w="108" w:type="dxa"/>
          <w:right w:w="108" w:type="dxa"/>
        </w:tblCellMar>
        <w:tblLook w:noVBand="1" w:val="04a0" w:noHBand="0" w:lastColumn="0" w:firstColumn="1" w:lastRow="0" w:firstRow="1"/>
      </w:tblPr>
      <w:tblGrid>
        <w:gridCol w:w="1691"/>
        <w:gridCol w:w="8290"/>
      </w:tblGrid>
      <w:tr>
        <w:trPr/>
        <w:tc>
          <w:tcPr>
            <w:tcW w:w="1691" w:type="dxa"/>
            <w:tcBorders>
              <w:top w:val="single" w:sz="2" w:space="0" w:color="DDDDDD"/>
              <w:left w:val="single" w:sz="2" w:space="0" w:color="DDDDDD"/>
              <w:bottom w:val="single" w:sz="2" w:space="0" w:color="DDDDDD"/>
              <w:insideH w:val="single" w:sz="2" w:space="0" w:color="DDDDDD"/>
            </w:tcBorders>
            <w:shd w:color="auto" w:fill="F0F0F0" w:val="clear"/>
            <w:vAlign w:val="center"/>
          </w:tcPr>
          <w:p>
            <w:pPr>
              <w:pStyle w:val="Normal"/>
              <w:rPr>
                <w:szCs w:val="20"/>
              </w:rPr>
            </w:pPr>
            <w:r>
              <w:rPr>
                <w:szCs w:val="20"/>
              </w:rPr>
              <w:t>[BP 06]</w:t>
            </w:r>
          </w:p>
        </w:tc>
        <w:tc>
          <w:tcPr>
            <w:tcW w:w="8290"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color="auto" w:fill="F0F0F0" w:val="clear"/>
            <w:tcMar>
              <w:top w:w="105" w:type="dxa"/>
              <w:left w:w="143" w:type="dxa"/>
              <w:bottom w:w="105" w:type="dxa"/>
              <w:right w:w="150" w:type="dxa"/>
            </w:tcMar>
            <w:vAlign w:val="center"/>
          </w:tcPr>
          <w:p>
            <w:pPr>
              <w:pStyle w:val="Normal"/>
              <w:rPr/>
            </w:pPr>
            <w:r>
              <w:rPr>
                <w:szCs w:val="20"/>
              </w:rPr>
              <w:t xml:space="preserve">De </w:t>
            </w:r>
            <w:r>
              <w:rPr>
                <w:color w:val="000000"/>
                <w:szCs w:val="20"/>
              </w:rPr>
              <w:t>digitale dienstverlening is toegankelijk voor iedereen.</w:t>
            </w:r>
          </w:p>
        </w:tc>
      </w:tr>
      <w:tr>
        <w:trPr/>
        <w:tc>
          <w:tcPr>
            <w:tcW w:w="1691" w:type="dxa"/>
            <w:tcBorders>
              <w:top w:val="single" w:sz="2" w:space="0" w:color="DDDDDD"/>
              <w:left w:val="single" w:sz="2" w:space="0" w:color="DDDDDD"/>
              <w:bottom w:val="single" w:sz="2" w:space="0" w:color="DDDDDD"/>
              <w:insideH w:val="single" w:sz="2" w:space="0" w:color="DDDDDD"/>
            </w:tcBorders>
            <w:shd w:fill="auto" w:val="clear"/>
          </w:tcPr>
          <w:p>
            <w:pPr>
              <w:pStyle w:val="Normal"/>
              <w:rPr/>
            </w:pPr>
            <w:r>
              <w:rPr>
                <w:rStyle w:val="Sterkaccent"/>
                <w:szCs w:val="20"/>
              </w:rPr>
              <w:t>Achtergrond</w:t>
            </w:r>
          </w:p>
        </w:tc>
        <w:tc>
          <w:tcPr>
            <w:tcW w:w="8290"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fill="auto" w:val="clear"/>
            <w:tcMar>
              <w:top w:w="105" w:type="dxa"/>
              <w:left w:w="143" w:type="dxa"/>
              <w:bottom w:w="105" w:type="dxa"/>
              <w:right w:w="150" w:type="dxa"/>
            </w:tcMar>
            <w:vAlign w:val="center"/>
          </w:tcPr>
          <w:p>
            <w:pPr>
              <w:pStyle w:val="Tekstblok"/>
              <w:rPr/>
            </w:pPr>
            <w:r>
              <w:rPr>
                <w:szCs w:val="20"/>
              </w:rPr>
              <w:t xml:space="preserve">Vanuit de Wet </w:t>
            </w:r>
            <w:hyperlink r:id="rId12">
              <w:r>
                <w:rPr>
                  <w:rStyle w:val="ListLabel106"/>
                </w:rPr>
                <w:t>gelijke behandeling op grond van handicap of chronische ziekte</w:t>
              </w:r>
            </w:hyperlink>
            <w:r>
              <w:rPr>
                <w:szCs w:val="20"/>
              </w:rPr>
              <w:t xml:space="preserve"> dient iedere onderwijsvolger de mogelijkheid te krijgen tot het doen van een toets of examen.</w:t>
            </w:r>
            <w:r>
              <w:rPr>
                <w:rStyle w:val="Voetnootanker"/>
                <w:rStyle w:val="Voetnootanker"/>
                <w:szCs w:val="20"/>
              </w:rPr>
              <w:footnoteReference w:id="4"/>
            </w:r>
            <w:r>
              <w:rPr>
                <w:szCs w:val="20"/>
              </w:rPr>
              <w:t xml:space="preserve"> Indien de toets of het examen digitaal afgenomen wordt, dient de kandidaat ook in de gelegenheid gesteld te worden om de toets of examen af te nemen. </w:t>
            </w:r>
          </w:p>
          <w:p>
            <w:pPr>
              <w:pStyle w:val="Tekstblok"/>
              <w:spacing w:lineRule="auto" w:line="264" w:before="0" w:after="140"/>
              <w:rPr/>
            </w:pPr>
            <w:r>
              <w:rPr>
                <w:szCs w:val="20"/>
              </w:rPr>
              <w:t>Aanvullend is per 13 november 2017 het </w:t>
            </w:r>
            <w:hyperlink r:id="rId13">
              <w:r>
                <w:rPr>
                  <w:rStyle w:val="ListLabel106"/>
                </w:rPr>
                <w:t>Besluit digitale toegankelijkheid overheid</w:t>
              </w:r>
            </w:hyperlink>
            <w:r>
              <w:rPr>
                <w:szCs w:val="20"/>
              </w:rPr>
              <w:t xml:space="preserve"> van kracht.</w:t>
            </w:r>
            <w:r>
              <w:rPr>
                <w:rStyle w:val="Voetnootanker"/>
                <w:rStyle w:val="Voetnootanker"/>
                <w:szCs w:val="20"/>
              </w:rPr>
              <w:footnoteReference w:id="5"/>
            </w:r>
            <w:r>
              <w:rPr>
                <w:szCs w:val="20"/>
              </w:rPr>
              <w:t xml:space="preserve"> Op basis van dit besluit dienen alle nieuwe websites te voldoen aan de richtlijnen </w:t>
            </w:r>
            <w:hyperlink r:id="rId14">
              <w:r>
                <w:rPr>
                  <w:rStyle w:val="ListLabel106"/>
                </w:rPr>
                <w:t>digitale toegankelijkheid</w:t>
              </w:r>
            </w:hyperlink>
            <w:r>
              <w:rPr>
                <w:szCs w:val="20"/>
              </w:rPr>
              <w:t>. Bestaande websites dienen uiterlijk 23 september 2020 aangepast te zijn.</w:t>
            </w:r>
          </w:p>
        </w:tc>
      </w:tr>
      <w:tr>
        <w:trPr/>
        <w:tc>
          <w:tcPr>
            <w:tcW w:w="1691" w:type="dxa"/>
            <w:tcBorders>
              <w:top w:val="single" w:sz="2" w:space="0" w:color="DDDDDD"/>
              <w:left w:val="single" w:sz="2" w:space="0" w:color="DDDDDD"/>
              <w:bottom w:val="single" w:sz="2" w:space="0" w:color="DDDDDD"/>
              <w:insideH w:val="single" w:sz="2" w:space="0" w:color="DDDDDD"/>
            </w:tcBorders>
            <w:shd w:fill="auto" w:val="clear"/>
          </w:tcPr>
          <w:p>
            <w:pPr>
              <w:pStyle w:val="Normal"/>
              <w:rPr/>
            </w:pPr>
            <w:r>
              <w:rPr>
                <w:rStyle w:val="Sterkaccent"/>
                <w:szCs w:val="20"/>
              </w:rPr>
              <w:t>Implicatie</w:t>
            </w:r>
          </w:p>
        </w:tc>
        <w:tc>
          <w:tcPr>
            <w:tcW w:w="8290"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fill="auto" w:val="clear"/>
            <w:tcMar>
              <w:top w:w="105" w:type="dxa"/>
              <w:left w:w="143" w:type="dxa"/>
              <w:bottom w:w="105" w:type="dxa"/>
              <w:right w:w="150" w:type="dxa"/>
            </w:tcMar>
            <w:vAlign w:val="center"/>
          </w:tcPr>
          <w:p>
            <w:pPr>
              <w:pStyle w:val="Tekstblok"/>
              <w:rPr/>
            </w:pPr>
            <w:r>
              <w:rPr>
                <w:szCs w:val="20"/>
              </w:rPr>
              <w:t xml:space="preserve">Alle gebruikersinterfaces dienen te voldoen aan de grondbeginselen van interface ontwerpen. Voor het computerexamensysteem dienen </w:t>
            </w:r>
            <w:r>
              <w:rPr>
                <w:rStyle w:val="Sterkaccent"/>
                <w:szCs w:val="20"/>
              </w:rPr>
              <w:t>alle</w:t>
            </w:r>
            <w:r>
              <w:rPr>
                <w:szCs w:val="20"/>
              </w:rPr>
              <w:t xml:space="preserve"> webpagina's te voldoen aan:</w:t>
            </w:r>
          </w:p>
          <w:p>
            <w:pPr>
              <w:pStyle w:val="Normal"/>
              <w:numPr>
                <w:ilvl w:val="0"/>
                <w:numId w:val="8"/>
              </w:numPr>
              <w:rPr>
                <w:szCs w:val="20"/>
              </w:rPr>
            </w:pPr>
            <w:r>
              <w:rPr>
                <w:szCs w:val="20"/>
              </w:rPr>
              <w:t>De eisen zoals opgesteld in Digitoegankelijkheid (EN 301 549): </w:t>
            </w:r>
            <w:hyperlink r:id="rId15">
              <w:r>
                <w:rPr>
                  <w:rStyle w:val="Internetkoppeling"/>
                </w:rPr>
                <w:t>https://www.digitoegankelijk.nl/</w:t>
              </w:r>
            </w:hyperlink>
          </w:p>
          <w:p>
            <w:pPr>
              <w:pStyle w:val="Normal"/>
              <w:numPr>
                <w:ilvl w:val="0"/>
                <w:numId w:val="8"/>
              </w:numPr>
              <w:rPr>
                <w:szCs w:val="20"/>
              </w:rPr>
            </w:pPr>
            <w:r>
              <w:rPr>
                <w:szCs w:val="20"/>
              </w:rPr>
              <w:t>De niveaus A en AA van de Web Content Accessibility Guidelines (WCAG) 2.0:</w:t>
              <w:br/>
            </w:r>
            <w:hyperlink r:id="rId16">
              <w:r>
                <w:rPr>
                  <w:rStyle w:val="Internetkoppeling"/>
                </w:rPr>
                <w:t>https://nl.wikipedia.org/wiki/Web_Content_Accessibility_Guidelines</w:t>
              </w:r>
            </w:hyperlink>
          </w:p>
          <w:p>
            <w:pPr>
              <w:pStyle w:val="Normal"/>
              <w:numPr>
                <w:ilvl w:val="0"/>
                <w:numId w:val="8"/>
              </w:numPr>
              <w:rPr>
                <w:szCs w:val="20"/>
              </w:rPr>
            </w:pPr>
            <w:r>
              <w:rPr>
                <w:szCs w:val="20"/>
              </w:rPr>
              <w:t>De 65 ijkpunten van het W3C: </w:t>
              <w:br/>
            </w:r>
            <w:hyperlink r:id="rId17">
              <w:r>
                <w:rPr>
                  <w:rStyle w:val="Internetkoppeling"/>
                </w:rPr>
                <w:t>https://www.w3.org/standards/webdesign/accessibility</w:t>
              </w:r>
            </w:hyperlink>
          </w:p>
          <w:p>
            <w:pPr>
              <w:pStyle w:val="Normal"/>
              <w:numPr>
                <w:ilvl w:val="0"/>
                <w:numId w:val="8"/>
              </w:numPr>
              <w:rPr>
                <w:szCs w:val="20"/>
              </w:rPr>
            </w:pPr>
            <w:r>
              <w:rPr>
                <w:szCs w:val="20"/>
              </w:rPr>
              <w:t>Daarbij dienen alle pagina's die gebaseerd zijn op de QTI-specificatie te voldoen aan Accessibility Specifications: </w:t>
              <w:br/>
            </w:r>
            <w:hyperlink r:id="rId18">
              <w:r>
                <w:rPr>
                  <w:rStyle w:val="Internetkoppeling"/>
                  <w:szCs w:val="20"/>
                </w:rPr>
                <w:t>https://www.imsglobal.org/activity/accessibility</w:t>
              </w:r>
            </w:hyperlink>
            <w:r>
              <w:rPr>
                <w:rStyle w:val="Internetkoppeling"/>
                <w:szCs w:val="20"/>
              </w:rPr>
              <w:t>.</w:t>
            </w:r>
          </w:p>
        </w:tc>
      </w:tr>
    </w:tbl>
    <w:p>
      <w:pPr>
        <w:pStyle w:val="Normal"/>
        <w:rPr>
          <w:szCs w:val="20"/>
        </w:rPr>
      </w:pPr>
      <w:r>
        <w:rPr>
          <w:szCs w:val="20"/>
        </w:rPr>
      </w:r>
    </w:p>
    <w:tbl>
      <w:tblPr>
        <w:tblW w:w="9982" w:type="dxa"/>
        <w:jc w:val="left"/>
        <w:tblInd w:w="-190" w:type="dxa"/>
        <w:tblBorders>
          <w:top w:val="single" w:sz="2" w:space="0" w:color="DDDDDD"/>
          <w:left w:val="single" w:sz="2" w:space="0" w:color="DDDDDD"/>
          <w:bottom w:val="single" w:sz="2" w:space="0" w:color="DDDDDD"/>
          <w:insideH w:val="single" w:sz="2" w:space="0" w:color="DDDDDD"/>
        </w:tblBorders>
        <w:tblCellMar>
          <w:top w:w="108" w:type="dxa"/>
          <w:left w:w="104" w:type="dxa"/>
          <w:bottom w:w="108" w:type="dxa"/>
          <w:right w:w="108" w:type="dxa"/>
        </w:tblCellMar>
        <w:tblLook w:noVBand="1" w:val="04a0" w:noHBand="0" w:lastColumn="0" w:firstColumn="1" w:lastRow="0" w:firstRow="1"/>
      </w:tblPr>
      <w:tblGrid>
        <w:gridCol w:w="1691"/>
        <w:gridCol w:w="8290"/>
      </w:tblGrid>
      <w:tr>
        <w:trPr/>
        <w:tc>
          <w:tcPr>
            <w:tcW w:w="1691" w:type="dxa"/>
            <w:tcBorders>
              <w:top w:val="single" w:sz="2" w:space="0" w:color="DDDDDD"/>
              <w:left w:val="single" w:sz="2" w:space="0" w:color="DDDDDD"/>
              <w:bottom w:val="single" w:sz="2" w:space="0" w:color="DDDDDD"/>
              <w:insideH w:val="single" w:sz="2" w:space="0" w:color="DDDDDD"/>
            </w:tcBorders>
            <w:shd w:color="auto" w:fill="F0F0F0" w:val="clear"/>
            <w:vAlign w:val="center"/>
          </w:tcPr>
          <w:p>
            <w:pPr>
              <w:pStyle w:val="Normal"/>
              <w:rPr>
                <w:szCs w:val="20"/>
              </w:rPr>
            </w:pPr>
            <w:r>
              <w:rPr>
                <w:szCs w:val="20"/>
              </w:rPr>
              <w:t>[BP 07]</w:t>
            </w:r>
          </w:p>
        </w:tc>
        <w:tc>
          <w:tcPr>
            <w:tcW w:w="8290"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color="auto" w:fill="F0F0F0" w:val="clear"/>
            <w:tcMar>
              <w:top w:w="105" w:type="dxa"/>
              <w:left w:w="143" w:type="dxa"/>
              <w:bottom w:w="105" w:type="dxa"/>
              <w:right w:w="150" w:type="dxa"/>
            </w:tcMar>
            <w:vAlign w:val="center"/>
          </w:tcPr>
          <w:p>
            <w:pPr>
              <w:pStyle w:val="Normal"/>
              <w:rPr>
                <w:szCs w:val="20"/>
              </w:rPr>
            </w:pPr>
            <w:r>
              <w:rPr>
                <w:szCs w:val="20"/>
              </w:rPr>
              <w:t>Het computerexamensysteem vereist een minimale beheerlast op de examenlocatie.</w:t>
            </w:r>
          </w:p>
        </w:tc>
      </w:tr>
      <w:tr>
        <w:trPr/>
        <w:tc>
          <w:tcPr>
            <w:tcW w:w="1691" w:type="dxa"/>
            <w:tcBorders>
              <w:top w:val="single" w:sz="2" w:space="0" w:color="DDDDDD"/>
              <w:left w:val="single" w:sz="2" w:space="0" w:color="DDDDDD"/>
              <w:bottom w:val="single" w:sz="2" w:space="0" w:color="DDDDDD"/>
              <w:insideH w:val="single" w:sz="2" w:space="0" w:color="DDDDDD"/>
            </w:tcBorders>
            <w:shd w:fill="auto" w:val="clear"/>
          </w:tcPr>
          <w:p>
            <w:pPr>
              <w:pStyle w:val="Normal"/>
              <w:rPr/>
            </w:pPr>
            <w:r>
              <w:rPr>
                <w:rStyle w:val="Sterkaccent"/>
                <w:szCs w:val="20"/>
              </w:rPr>
              <w:t>Achtergrond</w:t>
            </w:r>
          </w:p>
        </w:tc>
        <w:tc>
          <w:tcPr>
            <w:tcW w:w="8290"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fill="auto" w:val="clear"/>
            <w:tcMar>
              <w:top w:w="105" w:type="dxa"/>
              <w:left w:w="143" w:type="dxa"/>
              <w:bottom w:w="105" w:type="dxa"/>
              <w:right w:w="150" w:type="dxa"/>
            </w:tcMar>
            <w:vAlign w:val="center"/>
          </w:tcPr>
          <w:p>
            <w:pPr>
              <w:pStyle w:val="Normal"/>
              <w:rPr/>
            </w:pPr>
            <w:r>
              <w:rPr>
                <w:szCs w:val="20"/>
              </w:rPr>
              <w:t xml:space="preserve">Het CvTE is namens de </w:t>
            </w:r>
            <w:r>
              <w:rPr>
                <w:color w:val="000000"/>
                <w:szCs w:val="20"/>
              </w:rPr>
              <w:t xml:space="preserve">overheid </w:t>
            </w:r>
            <w:hyperlink r:id="rId19">
              <w:r>
                <w:rPr>
                  <w:rStyle w:val="ListLabel108"/>
                </w:rPr>
                <w:t>verantwoordelijk</w:t>
              </w:r>
            </w:hyperlink>
            <w:r>
              <w:rPr>
                <w:color w:val="000000"/>
                <w:szCs w:val="20"/>
              </w:rPr>
              <w:t xml:space="preserve"> voor</w:t>
            </w:r>
            <w:r>
              <w:rPr>
                <w:szCs w:val="20"/>
              </w:rPr>
              <w:t xml:space="preserve"> de kwaliteit en het niveau van de centrale toetsen en examens in Nederland en draagt er </w:t>
            </w:r>
            <w:r>
              <w:rPr>
                <w:color w:val="000000"/>
                <w:szCs w:val="20"/>
              </w:rPr>
              <w:t>zorg voor dat scholen en instellingen de centrale examens en toetsen op een goede manier kunnen afnemen.</w:t>
            </w:r>
          </w:p>
        </w:tc>
      </w:tr>
      <w:tr>
        <w:trPr>
          <w:trHeight w:val="2717" w:hRule="atLeast"/>
        </w:trPr>
        <w:tc>
          <w:tcPr>
            <w:tcW w:w="1691" w:type="dxa"/>
            <w:tcBorders>
              <w:top w:val="single" w:sz="2" w:space="0" w:color="DDDDDD"/>
              <w:left w:val="single" w:sz="2" w:space="0" w:color="DDDDDD"/>
              <w:bottom w:val="single" w:sz="2" w:space="0" w:color="DDDDDD"/>
              <w:insideH w:val="single" w:sz="2" w:space="0" w:color="DDDDDD"/>
            </w:tcBorders>
            <w:shd w:fill="auto" w:val="clear"/>
          </w:tcPr>
          <w:p>
            <w:pPr>
              <w:pStyle w:val="Normal"/>
              <w:rPr/>
            </w:pPr>
            <w:r>
              <w:rPr>
                <w:rStyle w:val="Sterkaccent"/>
                <w:szCs w:val="20"/>
              </w:rPr>
              <w:t>Implicatie</w:t>
            </w:r>
          </w:p>
        </w:tc>
        <w:tc>
          <w:tcPr>
            <w:tcW w:w="8290"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fill="auto" w:val="clear"/>
            <w:tcMar>
              <w:top w:w="105" w:type="dxa"/>
              <w:left w:w="143" w:type="dxa"/>
              <w:bottom w:w="105" w:type="dxa"/>
              <w:right w:w="150" w:type="dxa"/>
            </w:tcMar>
            <w:vAlign w:val="center"/>
          </w:tcPr>
          <w:p>
            <w:pPr>
              <w:pStyle w:val="Normal"/>
              <w:rPr/>
            </w:pPr>
            <w:r>
              <w:rPr/>
              <w:t>Op de examenlocatie dient enkel gebruik gemaakt te kunnen worden van eenvoudig te installeren producten, waarbij er geen of minimale aanpassing vereist wordt aan de bestaande infrastructuur van de examenlocatie. De producten zelf dienen uit te blinken in eenvoudige en ondubbelzinnige gebruikersinterfaces waarbij configuratiehandelingen teruggebracht dienen te zijn tot het maximaal noodzakelijke.</w:t>
            </w:r>
          </w:p>
          <w:p>
            <w:pPr>
              <w:pStyle w:val="Normal"/>
              <w:rPr/>
            </w:pPr>
            <w:r>
              <w:rPr/>
            </w:r>
          </w:p>
          <w:p>
            <w:pPr>
              <w:pStyle w:val="Normal"/>
              <w:rPr/>
            </w:pPr>
            <w:r>
              <w:rPr/>
              <w:t>Het computerexamensysteem dient een naadloze integratie met een leerling informatie systeem (LIS) niet uit te sluiten. Hiervoor dient het computerexamensysteem op basis van de geldende open standaarden te communiceren.</w:t>
            </w:r>
          </w:p>
        </w:tc>
      </w:tr>
    </w:tbl>
    <w:p>
      <w:pPr>
        <w:pStyle w:val="Normal"/>
        <w:numPr>
          <w:ilvl w:val="0"/>
          <w:numId w:val="3"/>
        </w:numPr>
        <w:rPr/>
      </w:pPr>
      <w:r>
        <w:rPr/>
      </w:r>
    </w:p>
    <w:tbl>
      <w:tblPr>
        <w:tblW w:w="9982" w:type="dxa"/>
        <w:jc w:val="left"/>
        <w:tblInd w:w="-190" w:type="dxa"/>
        <w:tblBorders>
          <w:top w:val="single" w:sz="2" w:space="0" w:color="DDDDDD"/>
          <w:left w:val="single" w:sz="2" w:space="0" w:color="DDDDDD"/>
          <w:bottom w:val="single" w:sz="2" w:space="0" w:color="DDDDDD"/>
          <w:insideH w:val="single" w:sz="2" w:space="0" w:color="DDDDDD"/>
        </w:tblBorders>
        <w:tblCellMar>
          <w:top w:w="108" w:type="dxa"/>
          <w:left w:w="104" w:type="dxa"/>
          <w:bottom w:w="108" w:type="dxa"/>
          <w:right w:w="108" w:type="dxa"/>
        </w:tblCellMar>
        <w:tblLook w:noVBand="1" w:val="04a0" w:noHBand="0" w:lastColumn="0" w:firstColumn="1" w:lastRow="0" w:firstRow="1"/>
      </w:tblPr>
      <w:tblGrid>
        <w:gridCol w:w="1691"/>
        <w:gridCol w:w="8290"/>
      </w:tblGrid>
      <w:tr>
        <w:trPr/>
        <w:tc>
          <w:tcPr>
            <w:tcW w:w="1691" w:type="dxa"/>
            <w:tcBorders>
              <w:top w:val="single" w:sz="2" w:space="0" w:color="DDDDDD"/>
              <w:left w:val="single" w:sz="2" w:space="0" w:color="DDDDDD"/>
              <w:bottom w:val="single" w:sz="2" w:space="0" w:color="DDDDDD"/>
              <w:insideH w:val="single" w:sz="2" w:space="0" w:color="DDDDDD"/>
            </w:tcBorders>
            <w:shd w:color="auto" w:fill="F0F0F0" w:val="clear"/>
            <w:vAlign w:val="center"/>
          </w:tcPr>
          <w:p>
            <w:pPr>
              <w:pStyle w:val="Normal"/>
              <w:rPr>
                <w:szCs w:val="20"/>
              </w:rPr>
            </w:pPr>
            <w:r>
              <w:rPr>
                <w:szCs w:val="20"/>
              </w:rPr>
              <w:t>[BP 08]</w:t>
            </w:r>
          </w:p>
        </w:tc>
        <w:tc>
          <w:tcPr>
            <w:tcW w:w="8290"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color="auto" w:fill="F0F0F0" w:val="clear"/>
            <w:tcMar>
              <w:top w:w="105" w:type="dxa"/>
              <w:left w:w="143" w:type="dxa"/>
              <w:bottom w:w="105" w:type="dxa"/>
              <w:right w:w="150" w:type="dxa"/>
            </w:tcMar>
            <w:vAlign w:val="center"/>
          </w:tcPr>
          <w:p>
            <w:pPr>
              <w:pStyle w:val="Normal"/>
              <w:rPr>
                <w:color w:val="091E42"/>
                <w:szCs w:val="20"/>
              </w:rPr>
            </w:pPr>
            <w:r>
              <w:rPr>
                <w:szCs w:val="20"/>
              </w:rPr>
              <w:t>De risico's op uitval van het computerexamensysteem en/of verlies, verminking of onbedoeld manipulatie van informatie dient tot een minimum beperkt te worden.</w:t>
            </w:r>
          </w:p>
        </w:tc>
      </w:tr>
      <w:tr>
        <w:trPr/>
        <w:tc>
          <w:tcPr>
            <w:tcW w:w="1691" w:type="dxa"/>
            <w:tcBorders>
              <w:top w:val="single" w:sz="2" w:space="0" w:color="DDDDDD"/>
              <w:left w:val="single" w:sz="2" w:space="0" w:color="DDDDDD"/>
              <w:bottom w:val="single" w:sz="2" w:space="0" w:color="DDDDDD"/>
              <w:insideH w:val="single" w:sz="2" w:space="0" w:color="DDDDDD"/>
            </w:tcBorders>
            <w:shd w:fill="auto" w:val="clear"/>
          </w:tcPr>
          <w:p>
            <w:pPr>
              <w:pStyle w:val="Normal"/>
              <w:rPr/>
            </w:pPr>
            <w:r>
              <w:rPr>
                <w:rStyle w:val="Sterkaccent"/>
                <w:szCs w:val="20"/>
              </w:rPr>
              <w:t>Achtergrond</w:t>
            </w:r>
          </w:p>
        </w:tc>
        <w:tc>
          <w:tcPr>
            <w:tcW w:w="8290"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fill="auto" w:val="clear"/>
            <w:tcMar>
              <w:top w:w="105" w:type="dxa"/>
              <w:left w:w="143" w:type="dxa"/>
              <w:bottom w:w="105" w:type="dxa"/>
              <w:right w:w="150" w:type="dxa"/>
            </w:tcMar>
            <w:vAlign w:val="center"/>
          </w:tcPr>
          <w:p>
            <w:pPr>
              <w:pStyle w:val="Normal"/>
              <w:rPr>
                <w:color w:val="000000"/>
                <w:szCs w:val="20"/>
              </w:rPr>
            </w:pPr>
            <w:r>
              <w:rPr>
                <w:color w:val="000000"/>
                <w:szCs w:val="20"/>
              </w:rPr>
              <w:t xml:space="preserve">Het CvTE is namens de overheid verantwoordelijk voor de kwaliteit en het niveau van de centrale toetsen en examens in Nederland en draagt zorg voor dat scholen en instellingen de centrale examens en toetsen op een goede manier kunnen afnemen. Een kwalitatief goed systeem dat optimaal een bijdrage levert aan de doelstellingen van CvTE is cruciaal. De risico's op uitval van het computerexamensysteem en/of verlies, verminking of onbedoeld manipulatie van data dient tot een minimum beperkt te worden. </w:t>
            </w:r>
          </w:p>
        </w:tc>
      </w:tr>
      <w:tr>
        <w:trPr/>
        <w:tc>
          <w:tcPr>
            <w:tcW w:w="1691" w:type="dxa"/>
            <w:tcBorders>
              <w:top w:val="single" w:sz="2" w:space="0" w:color="DDDDDD"/>
              <w:left w:val="single" w:sz="2" w:space="0" w:color="DDDDDD"/>
              <w:bottom w:val="single" w:sz="2" w:space="0" w:color="DDDDDD"/>
              <w:insideH w:val="single" w:sz="2" w:space="0" w:color="DDDDDD"/>
            </w:tcBorders>
            <w:shd w:fill="auto" w:val="clear"/>
          </w:tcPr>
          <w:p>
            <w:pPr>
              <w:pStyle w:val="Normal"/>
              <w:rPr>
                <w:b/>
                <w:b/>
                <w:bCs/>
              </w:rPr>
            </w:pPr>
            <w:r>
              <w:rPr>
                <w:b/>
                <w:bCs/>
              </w:rPr>
              <w:t>Implicatie</w:t>
            </w:r>
          </w:p>
        </w:tc>
        <w:tc>
          <w:tcPr>
            <w:tcW w:w="8290" w:type="dxa"/>
            <w:tcBorders>
              <w:top w:val="single" w:sz="2" w:space="0" w:color="DDDDDD"/>
              <w:left w:val="single" w:sz="2" w:space="0" w:color="DDDDDD"/>
              <w:bottom w:val="single" w:sz="2" w:space="0" w:color="DDDDDD"/>
              <w:right w:val="single" w:sz="2" w:space="0" w:color="DDDDDD"/>
              <w:insideH w:val="single" w:sz="2" w:space="0" w:color="DDDDDD"/>
              <w:insideV w:val="single" w:sz="2" w:space="0" w:color="DDDDDD"/>
            </w:tcBorders>
            <w:shd w:fill="auto" w:val="clear"/>
            <w:tcMar>
              <w:top w:w="105" w:type="dxa"/>
              <w:left w:w="143" w:type="dxa"/>
              <w:bottom w:w="105" w:type="dxa"/>
              <w:right w:w="150" w:type="dxa"/>
            </w:tcMar>
            <w:vAlign w:val="center"/>
          </w:tcPr>
          <w:p>
            <w:pPr>
              <w:pStyle w:val="Normal"/>
              <w:rPr/>
            </w:pPr>
            <w:r>
              <w:rPr/>
              <w:t xml:space="preserve">De kwaliteit van het systeem dient gespecificeerd te zijn op basis van </w:t>
            </w:r>
            <w:hyperlink r:id="rId20">
              <w:r>
                <w:rPr>
                  <w:rStyle w:val="ListLabel952"/>
                </w:rPr>
                <w:t>ISO 25010</w:t>
              </w:r>
            </w:hyperlink>
            <w:r>
              <w:rPr/>
              <w:t>. Het toetsen van de kwaliteit van het systeem en de beheersing van de risico’s dient te geschieden op basis van de in de ISO 25010 gedefinieerde aspecten.</w:t>
            </w:r>
          </w:p>
        </w:tc>
      </w:tr>
    </w:tbl>
    <w:p>
      <w:pPr>
        <w:pStyle w:val="Kop1"/>
        <w:numPr>
          <w:ilvl w:val="0"/>
          <w:numId w:val="22"/>
        </w:numPr>
        <w:rPr/>
      </w:pPr>
      <w:r>
        <w:br w:type="page"/>
      </w:r>
      <w:bookmarkStart w:id="27" w:name="_Toc524688269"/>
      <w:bookmarkStart w:id="28" w:name="_Toc517429727"/>
      <w:bookmarkStart w:id="29" w:name="_Toc523307505"/>
      <w:r>
        <w:rPr/>
        <w:t>Analyse van de processtappen</w:t>
      </w:r>
      <w:bookmarkEnd w:id="27"/>
      <w:bookmarkEnd w:id="28"/>
      <w:bookmarkEnd w:id="29"/>
    </w:p>
    <w:p>
      <w:pPr>
        <w:pStyle w:val="Tekstblok"/>
        <w:rPr>
          <w:szCs w:val="20"/>
        </w:rPr>
      </w:pPr>
      <w:r>
        <w:rPr>
          <w:szCs w:val="20"/>
        </w:rPr>
        <w:t>Om vast te stellen wat de gewenste richting en visie is van de individuele processtappen van het ketenproces, worden deze afgezet tegen een viertal aspecten, te weten:</w:t>
      </w:r>
    </w:p>
    <w:p>
      <w:pPr>
        <w:pStyle w:val="Tekstblok"/>
        <w:numPr>
          <w:ilvl w:val="0"/>
          <w:numId w:val="4"/>
        </w:numPr>
        <w:spacing w:before="0" w:after="57"/>
        <w:rPr>
          <w:szCs w:val="20"/>
        </w:rPr>
      </w:pPr>
      <w:r>
        <w:rPr>
          <w:szCs w:val="20"/>
        </w:rPr>
        <w:t>de externe marktontwikkelingen;</w:t>
      </w:r>
    </w:p>
    <w:p>
      <w:pPr>
        <w:pStyle w:val="Tekstblok"/>
        <w:numPr>
          <w:ilvl w:val="0"/>
          <w:numId w:val="4"/>
        </w:numPr>
        <w:spacing w:before="0" w:after="57"/>
        <w:rPr>
          <w:szCs w:val="20"/>
        </w:rPr>
      </w:pPr>
      <w:r>
        <w:rPr>
          <w:szCs w:val="20"/>
        </w:rPr>
        <w:t>de omgeving (eisen van scholen en instellingen, wet en regelgeving);</w:t>
      </w:r>
    </w:p>
    <w:p>
      <w:pPr>
        <w:pStyle w:val="Tekstblok"/>
        <w:numPr>
          <w:ilvl w:val="0"/>
          <w:numId w:val="4"/>
        </w:numPr>
        <w:spacing w:before="0" w:after="57"/>
        <w:rPr>
          <w:szCs w:val="20"/>
        </w:rPr>
      </w:pPr>
      <w:r>
        <w:rPr>
          <w:szCs w:val="20"/>
        </w:rPr>
        <w:t>de beschikbare middelen (zoals Facet die nu biedt) en</w:t>
      </w:r>
    </w:p>
    <w:p>
      <w:pPr>
        <w:pStyle w:val="Tekstblok"/>
        <w:numPr>
          <w:ilvl w:val="0"/>
          <w:numId w:val="4"/>
        </w:numPr>
        <w:spacing w:before="0" w:after="57"/>
        <w:rPr/>
      </w:pPr>
      <w:r>
        <w:rPr>
          <w:szCs w:val="20"/>
        </w:rPr>
        <w:t>de wens/eis/visie vanuit de participerende organisaties; de stakeholders.</w:t>
      </w:r>
    </w:p>
    <w:p>
      <w:pPr>
        <w:pStyle w:val="Normal"/>
        <w:rPr>
          <w:sz w:val="22"/>
          <w:szCs w:val="22"/>
        </w:rPr>
      </w:pPr>
      <w:r>
        <w:rPr>
          <w:sz w:val="22"/>
          <w:szCs w:val="22"/>
        </w:rPr>
      </w:r>
    </w:p>
    <w:p>
      <w:pPr>
        <w:pStyle w:val="Tekstblok"/>
        <w:rPr>
          <w:szCs w:val="20"/>
        </w:rPr>
      </w:pPr>
      <w:r>
        <w:rPr>
          <w:szCs w:val="20"/>
        </w:rPr>
        <w:t>Door deze vier aspecten in samenhang te beschouwen ontstaat een motivatie om een richting of (beleids)keuze te adviseren. Per processtap zal een scan op deze vier aspecten uitgevoerd worden.</w:t>
      </w:r>
    </w:p>
    <w:p>
      <w:pPr>
        <w:pStyle w:val="Tekstblok"/>
        <w:rPr>
          <w:szCs w:val="20"/>
        </w:rPr>
      </w:pPr>
      <w:r>
        <w:rPr>
          <w:szCs w:val="20"/>
        </w:rPr>
      </w:r>
    </w:p>
    <w:p>
      <w:pPr>
        <w:pStyle w:val="Tekstblok"/>
        <w:jc w:val="center"/>
        <w:rPr/>
      </w:pPr>
      <w:r>
        <w:rPr/>
        <w:drawing>
          <wp:inline distT="0" distB="0" distL="0" distR="0">
            <wp:extent cx="4236720" cy="2753995"/>
            <wp:effectExtent l="0" t="0" r="0" b="0"/>
            <wp:docPr id="7" name="Afbeelding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14" descr=""/>
                    <pic:cNvPicPr>
                      <a:picLocks noChangeAspect="1" noChangeArrowheads="1"/>
                    </pic:cNvPicPr>
                  </pic:nvPicPr>
                  <pic:blipFill>
                    <a:blip r:embed="rId21"/>
                    <a:stretch>
                      <a:fillRect/>
                    </a:stretch>
                  </pic:blipFill>
                  <pic:spPr bwMode="auto">
                    <a:xfrm>
                      <a:off x="0" y="0"/>
                      <a:ext cx="4236720" cy="2753995"/>
                    </a:xfrm>
                    <a:prstGeom prst="rect">
                      <a:avLst/>
                    </a:prstGeom>
                  </pic:spPr>
                </pic:pic>
              </a:graphicData>
            </a:graphic>
          </wp:inline>
        </w:drawing>
      </w:r>
    </w:p>
    <w:p>
      <w:pPr>
        <w:pStyle w:val="Kop2"/>
        <w:numPr>
          <w:ilvl w:val="1"/>
          <w:numId w:val="3"/>
        </w:numPr>
        <w:rPr>
          <w:sz w:val="20"/>
          <w:szCs w:val="20"/>
        </w:rPr>
      </w:pPr>
      <w:r>
        <w:rPr>
          <w:sz w:val="20"/>
          <w:szCs w:val="20"/>
        </w:rPr>
      </w:r>
    </w:p>
    <w:p>
      <w:pPr>
        <w:pStyle w:val="Kop2"/>
        <w:numPr>
          <w:ilvl w:val="1"/>
          <w:numId w:val="22"/>
        </w:numPr>
        <w:rPr>
          <w:sz w:val="20"/>
          <w:szCs w:val="20"/>
        </w:rPr>
      </w:pPr>
      <w:r>
        <w:rPr>
          <w:sz w:val="20"/>
          <w:szCs w:val="20"/>
        </w:rPr>
      </w:r>
      <w:r>
        <w:br w:type="page"/>
      </w:r>
    </w:p>
    <w:p>
      <w:pPr>
        <w:pStyle w:val="Kop2"/>
        <w:numPr>
          <w:ilvl w:val="1"/>
          <w:numId w:val="22"/>
        </w:numPr>
        <w:rPr/>
      </w:pPr>
      <w:bookmarkStart w:id="30" w:name="_Toc524688270"/>
      <w:bookmarkStart w:id="31" w:name="_Toc517429728"/>
      <w:bookmarkStart w:id="32" w:name="_Toc523307506"/>
      <w:r>
        <w:rPr/>
        <w:t>Het construeren en vaststellen van toetsen en examens</w:t>
      </w:r>
      <w:bookmarkEnd w:id="30"/>
      <w:bookmarkEnd w:id="31"/>
      <w:bookmarkEnd w:id="32"/>
    </w:p>
    <w:p>
      <w:pPr>
        <w:pStyle w:val="Inhoudtabel"/>
        <w:rPr/>
      </w:pPr>
      <w:r>
        <w:rPr>
          <w:szCs w:val="20"/>
        </w:rPr>
        <w:t xml:space="preserve">De constructie van een toets richt zich op de ontwikkeling van de toetsinhoud en het vaststellen van het toetsgebruik. De toetsinhoud beschrijft de individuele items en het toetsverloop en het toetsgebruik beschrijft de condities waaronder een toets wordt afgenomen en op welke wijze de resultaten teruggegeven worden. </w:t>
      </w:r>
    </w:p>
    <w:p>
      <w:pPr>
        <w:pStyle w:val="Inhoudtabel"/>
        <w:rPr>
          <w:szCs w:val="20"/>
        </w:rPr>
      </w:pPr>
      <w:r>
        <w:rPr>
          <w:szCs w:val="20"/>
        </w:rPr>
      </w:r>
    </w:p>
    <w:tbl>
      <w:tblPr>
        <w:tblW w:w="9638" w:type="dxa"/>
        <w:jc w:val="left"/>
        <w:tblInd w:w="-113" w:type="dxa"/>
        <w:tblBorders/>
        <w:tblCellMar>
          <w:top w:w="113" w:type="dxa"/>
          <w:left w:w="113" w:type="dxa"/>
          <w:bottom w:w="113" w:type="dxa"/>
          <w:right w:w="113" w:type="dxa"/>
        </w:tblCellMar>
        <w:tblLook w:noVBand="1" w:val="04a0" w:noHBand="0" w:lastColumn="0" w:firstColumn="1" w:lastRow="0" w:firstRow="1"/>
      </w:tblPr>
      <w:tblGrid>
        <w:gridCol w:w="1810"/>
        <w:gridCol w:w="7827"/>
      </w:tblGrid>
      <w:tr>
        <w:trPr/>
        <w:tc>
          <w:tcPr>
            <w:tcW w:w="1810" w:type="dxa"/>
            <w:tcBorders/>
            <w:shd w:fill="auto" w:val="clear"/>
          </w:tcPr>
          <w:p>
            <w:pPr>
              <w:pStyle w:val="Inhoudtabel"/>
              <w:rPr/>
            </w:pPr>
            <w:r>
              <w:rPr/>
              <w:drawing>
                <wp:inline distT="0" distB="0" distL="0" distR="0">
                  <wp:extent cx="972820" cy="607695"/>
                  <wp:effectExtent l="0" t="0" r="0" b="0"/>
                  <wp:docPr id="8" name="Afbeelding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20" descr=""/>
                          <pic:cNvPicPr>
                            <a:picLocks noChangeAspect="1" noChangeArrowheads="1"/>
                          </pic:cNvPicPr>
                        </pic:nvPicPr>
                        <pic:blipFill>
                          <a:blip r:embed="rId22"/>
                          <a:stretch>
                            <a:fillRect/>
                          </a:stretch>
                        </pic:blipFill>
                        <pic:spPr bwMode="auto">
                          <a:xfrm>
                            <a:off x="0" y="0"/>
                            <a:ext cx="972820" cy="607695"/>
                          </a:xfrm>
                          <a:prstGeom prst="rect">
                            <a:avLst/>
                          </a:prstGeom>
                        </pic:spPr>
                      </pic:pic>
                    </a:graphicData>
                  </a:graphic>
                </wp:inline>
              </w:drawing>
            </w:r>
          </w:p>
        </w:tc>
        <w:tc>
          <w:tcPr>
            <w:tcW w:w="7827" w:type="dxa"/>
            <w:tcBorders>
              <w:bottom w:val="single" w:sz="2" w:space="0" w:color="000000"/>
              <w:insideH w:val="single" w:sz="2" w:space="0" w:color="000000"/>
            </w:tcBorders>
            <w:shd w:fill="auto" w:val="clear"/>
          </w:tcPr>
          <w:p>
            <w:pPr>
              <w:pStyle w:val="Tekstblok"/>
              <w:rPr/>
            </w:pPr>
            <w:r>
              <w:rPr>
                <w:szCs w:val="20"/>
              </w:rPr>
              <w:t>De voorziening om toetsen te construeren is in Nederland veelal onlosmakelijk verbonden met de functionaliteit waarop de toets wordt afgenomen. De belangrijkste reden hiervoor is dat veel leveranciers de toetsomgeving als een totaalpakket aanbieden. Dergelijke toetsomgevingen kennen veelal beperkte mogelijkheden tot het uitwisselen van de toets- of exameninhoud op basis van open standaarden zonder verlies van gegevens. Dit leidt als bijkomstigheid vaak tot ongewilde ‘vendor lock-in’.</w:t>
            </w:r>
          </w:p>
          <w:p>
            <w:pPr>
              <w:pStyle w:val="Tekstblok"/>
              <w:rPr/>
            </w:pPr>
            <w:r>
              <w:rPr>
                <w:szCs w:val="20"/>
              </w:rPr>
              <w:t xml:space="preserve">Dit wil niet zeggen dat er geen standaarden zijn. Buiten de reguliere uitwisselformaten als PDF en XDOC (word formaat), spelen twee standaarden een rol voor het beschrijven van het gedrag en de opmaak van toetsen en examens, te weten </w:t>
            </w:r>
            <w:hyperlink r:id="rId23">
              <w:r>
                <w:rPr>
                  <w:rStyle w:val="Internetkoppeling"/>
                  <w:szCs w:val="20"/>
                </w:rPr>
                <w:t>SCORM</w:t>
              </w:r>
            </w:hyperlink>
            <w:r>
              <w:rPr>
                <w:szCs w:val="20"/>
              </w:rPr>
              <w:t xml:space="preserve"> en </w:t>
            </w:r>
            <w:hyperlink r:id="rId24">
              <w:r>
                <w:rPr>
                  <w:rStyle w:val="Internetkoppeling"/>
                  <w:szCs w:val="20"/>
                </w:rPr>
                <w:t>QTI</w:t>
              </w:r>
            </w:hyperlink>
            <w:r>
              <w:rPr>
                <w:szCs w:val="20"/>
              </w:rPr>
              <w:t xml:space="preserve">. Beide standaarden zijn in Nederland nog niet breed geadopteerd. </w:t>
            </w:r>
          </w:p>
          <w:p>
            <w:pPr>
              <w:pStyle w:val="Tekstblok"/>
              <w:rPr/>
            </w:pPr>
            <w:r>
              <w:rPr>
                <w:szCs w:val="20"/>
              </w:rPr>
              <w:t xml:space="preserve">Vanuit internationaal oogpunt is een verandering zichtbaar. Deze verandering is voornamelijk ingegeven door het programma </w:t>
            </w:r>
            <w:hyperlink r:id="rId25">
              <w:r>
                <w:rPr>
                  <w:rStyle w:val="Internetkoppeling"/>
                  <w:szCs w:val="20"/>
                </w:rPr>
                <w:t>Race to the top</w:t>
              </w:r>
            </w:hyperlink>
            <w:r>
              <w:rPr>
                <w:szCs w:val="20"/>
              </w:rPr>
              <w:t xml:space="preserve"> dat in 2011 in de Verenigde Staten is gestart. Het programma had onder meer als doel om te komen tot wettelijke standaard voor toetsen en examineren, dit is uiteindelijk QTI geworden. Als gevolg van deze wettelijke standaard is de constructie gescheiden van de afnameomgeving. Dit resulteert in meer innovaties op gebied van toetsontwikkeling en toetsplatformen. </w:t>
            </w:r>
          </w:p>
          <w:p>
            <w:pPr>
              <w:pStyle w:val="Tekstblok"/>
              <w:spacing w:lineRule="auto" w:line="264" w:before="0" w:after="140"/>
              <w:rPr/>
            </w:pPr>
            <w:r>
              <w:rPr>
                <w:szCs w:val="20"/>
              </w:rPr>
              <w:t xml:space="preserve">De ontwikkelingen rondom QTI en daaraan gelieerde standaarden vanuit IMS zijn mede hierdoor in een stroomversnelling gekomen. Het resultaat hiervan is dat IMS een rijke familie onderwijsstandaarden beheert die steeds meer toegepast worden binnen het onderwijsdomein. </w:t>
            </w:r>
          </w:p>
        </w:tc>
      </w:tr>
      <w:tr>
        <w:trPr/>
        <w:tc>
          <w:tcPr>
            <w:tcW w:w="1810" w:type="dxa"/>
            <w:tcBorders/>
            <w:shd w:fill="auto" w:val="clear"/>
          </w:tcPr>
          <w:p>
            <w:pPr>
              <w:pStyle w:val="Inhoudtabel"/>
              <w:rPr/>
            </w:pPr>
            <w:r>
              <w:rPr/>
              <w:drawing>
                <wp:inline distT="0" distB="0" distL="0" distR="0">
                  <wp:extent cx="972820" cy="607695"/>
                  <wp:effectExtent l="0" t="0" r="0" b="0"/>
                  <wp:docPr id="9" name="Afbeelding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21" descr=""/>
                          <pic:cNvPicPr>
                            <a:picLocks noChangeAspect="1" noChangeArrowheads="1"/>
                          </pic:cNvPicPr>
                        </pic:nvPicPr>
                        <pic:blipFill>
                          <a:blip r:embed="rId26"/>
                          <a:stretch>
                            <a:fillRect/>
                          </a:stretch>
                        </pic:blipFill>
                        <pic:spPr bwMode="auto">
                          <a:xfrm>
                            <a:off x="0" y="0"/>
                            <a:ext cx="972820" cy="607695"/>
                          </a:xfrm>
                          <a:prstGeom prst="rect">
                            <a:avLst/>
                          </a:prstGeom>
                        </pic:spPr>
                      </pic:pic>
                    </a:graphicData>
                  </a:graphic>
                </wp:inline>
              </w:drawing>
            </w:r>
          </w:p>
        </w:tc>
        <w:tc>
          <w:tcPr>
            <w:tcW w:w="7827" w:type="dxa"/>
            <w:tcBorders>
              <w:top w:val="single" w:sz="2" w:space="0" w:color="000000"/>
              <w:bottom w:val="single" w:sz="2" w:space="0" w:color="000000"/>
              <w:insideH w:val="single" w:sz="2" w:space="0" w:color="000000"/>
            </w:tcBorders>
            <w:shd w:fill="auto" w:val="clear"/>
          </w:tcPr>
          <w:p>
            <w:pPr>
              <w:pStyle w:val="Tekstblok"/>
              <w:rPr/>
            </w:pPr>
            <w:r>
              <w:rPr>
                <w:szCs w:val="20"/>
              </w:rPr>
              <w:t xml:space="preserve">Een toets of examen bestaat doorgaans uit arrangementen van meerdere opgaven conform een toetsmatrijs. De geavanceerde mogelijkheden die beschikbaar komen met digitaal toetsen, maakt dat item- en toetsconstructie complexer wordt (Implicaties voor multimedia assessments (Bakx, ea, 2002). Het is mede dáárom dat zowel VO alsook MBO de wens uitgesproken hebben om te streven naar opgave-banken waar op basis van beschikbare opgave nieuwe arrangementen samengesteld kunnen worden. </w:t>
            </w:r>
          </w:p>
          <w:p>
            <w:pPr>
              <w:pStyle w:val="Tekstblok"/>
              <w:rPr/>
            </w:pPr>
            <w:r>
              <w:rPr>
                <w:szCs w:val="20"/>
              </w:rPr>
              <w:t xml:space="preserve">In het referentiekader voor een </w:t>
            </w:r>
            <w:hyperlink r:id="rId27">
              <w:r>
                <w:rPr>
                  <w:rStyle w:val="Internetkoppeling"/>
                  <w:szCs w:val="20"/>
                </w:rPr>
                <w:t>Programma van Eisen voor de examenprocessen</w:t>
              </w:r>
            </w:hyperlink>
            <w:r>
              <w:rPr>
                <w:szCs w:val="20"/>
              </w:rPr>
              <w:t xml:space="preserve"> heeft het MBO de noodzaak vastgelegd dat een systeem om moet kunnen gaan met examens van verschillende leveranciers. Omdat momenteel al deze examens in leverancierseigen formaat worden opgeleverd is de eis gedefinieerd dat het systeem om moet kunnen gaan met verschillende formaten. Een standaard zou de uitwisseling van opgaven vereenvoudigen en daarmee de complexiteit van het systeem aanzienlijk vereenvoudigen. </w:t>
            </w:r>
          </w:p>
          <w:p>
            <w:pPr>
              <w:pStyle w:val="Tekstblok"/>
              <w:rPr/>
            </w:pPr>
            <w:r>
              <w:rPr>
                <w:szCs w:val="20"/>
              </w:rPr>
              <w:t xml:space="preserve">Twee jaar geleden is er een traject gestart om de Diagnostische Tussentijdse Toets (een formatieve toets in Facet), naar de markt te brengen, met als doel om toetsleveranciers in staat te stellen een adaptieve toets beschikbaar te stellen voor het onderwijsveld die zich gedurende de afname qua moeilijkheid aanpast aan de gegeven antwoorden van de kandidaat. </w:t>
            </w:r>
          </w:p>
          <w:p>
            <w:pPr>
              <w:pStyle w:val="Tekstblok"/>
              <w:rPr/>
            </w:pPr>
            <w:r>
              <w:rPr>
                <w:szCs w:val="20"/>
              </w:rPr>
              <w:t xml:space="preserve">Momenteel loopt een traject om de broncode van Questify Builder (de auteursomgeving van Cito) beschikbaar te stellen als Open Source. Deze ontwikkeling kan een significante bijdrage leveren aan het eenvoudiger construeren van complexe toetsen, de adoptie van digitaal toetsen en het hergebruik van toetsitems. Voor het afspelen van de toets is dan wel weer een toetsomgeving vereist, gelijk Facet of een ander vergelijkbaar product, dat op basis van de QTI-standaard een toets kan afspelen. </w:t>
            </w:r>
          </w:p>
          <w:p>
            <w:pPr>
              <w:pStyle w:val="Tekstblok"/>
              <w:spacing w:lineRule="auto" w:line="264" w:before="0" w:after="140"/>
              <w:rPr/>
            </w:pPr>
            <w:r>
              <w:rPr>
                <w:szCs w:val="20"/>
              </w:rPr>
              <w:t xml:space="preserve">Het taalvaardigheidsexamen dat onderdeel is van de inburgeringsplicht valt onder de verantwoordelijkheid van ministerie van het SZW. Het taalexamen dat op niveau A2 ligt, kent net als de Staatsexamens NT2 ook 4 onderdelen: schrijven, spreken, luisteren en lezen. Het Staatsexamen NT2 Programma I ligt op niveau B1 en Programma II ligt op niveau B2. In het najaar van 2018 wordt onderzocht of het mogelijk is om het taalvaardigheidsexamen op A2 niveau ook via het CvTE te laten verlopen.  </w:t>
            </w:r>
          </w:p>
        </w:tc>
      </w:tr>
      <w:tr>
        <w:trPr/>
        <w:tc>
          <w:tcPr>
            <w:tcW w:w="1810" w:type="dxa"/>
            <w:tcBorders/>
            <w:shd w:fill="auto" w:val="clear"/>
          </w:tcPr>
          <w:p>
            <w:pPr>
              <w:pStyle w:val="Inhoudtabel"/>
              <w:rPr/>
            </w:pPr>
            <w:r>
              <w:rPr/>
              <w:drawing>
                <wp:inline distT="0" distB="0" distL="0" distR="0">
                  <wp:extent cx="972820" cy="607695"/>
                  <wp:effectExtent l="0" t="0" r="0" b="0"/>
                  <wp:docPr id="10" name="Afbeelding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22" descr=""/>
                          <pic:cNvPicPr>
                            <a:picLocks noChangeAspect="1" noChangeArrowheads="1"/>
                          </pic:cNvPicPr>
                        </pic:nvPicPr>
                        <pic:blipFill>
                          <a:blip r:embed="rId28"/>
                          <a:stretch>
                            <a:fillRect/>
                          </a:stretch>
                        </pic:blipFill>
                        <pic:spPr bwMode="auto">
                          <a:xfrm>
                            <a:off x="0" y="0"/>
                            <a:ext cx="972820" cy="607695"/>
                          </a:xfrm>
                          <a:prstGeom prst="rect">
                            <a:avLst/>
                          </a:prstGeom>
                        </pic:spPr>
                      </pic:pic>
                    </a:graphicData>
                  </a:graphic>
                </wp:inline>
              </w:drawing>
            </w:r>
          </w:p>
        </w:tc>
        <w:tc>
          <w:tcPr>
            <w:tcW w:w="7827" w:type="dxa"/>
            <w:tcBorders>
              <w:top w:val="single" w:sz="2" w:space="0" w:color="000000"/>
              <w:bottom w:val="single" w:sz="2" w:space="0" w:color="000000"/>
              <w:insideH w:val="single" w:sz="2" w:space="0" w:color="000000"/>
            </w:tcBorders>
            <w:shd w:fill="auto" w:val="clear"/>
          </w:tcPr>
          <w:p>
            <w:pPr>
              <w:pStyle w:val="Tekstblok"/>
              <w:rPr/>
            </w:pPr>
            <w:r>
              <w:rPr>
                <w:szCs w:val="20"/>
              </w:rPr>
              <w:t xml:space="preserve">Vanuit de wettelijke taak van het CvTE om </w:t>
            </w:r>
            <w:r>
              <w:rPr>
                <w:i/>
                <w:szCs w:val="20"/>
              </w:rPr>
              <w:t xml:space="preserve">de </w:t>
            </w:r>
            <w:r>
              <w:rPr>
                <w:i/>
                <w:iCs/>
                <w:szCs w:val="20"/>
              </w:rPr>
              <w:t>kwaliteit en het niveau van de centrale examens en toetsen in Nederland op peil te houden</w:t>
            </w:r>
            <w:r>
              <w:rPr>
                <w:szCs w:val="20"/>
              </w:rPr>
              <w:t xml:space="preserve"> zijn kwalitatief hoogwaardige toetsen randvoorwaardelijk. Deze randvoorwaarden zijn ook vastgelegd in </w:t>
            </w:r>
            <w:r>
              <w:rPr>
                <w:b/>
                <w:bCs/>
                <w:szCs w:val="20"/>
              </w:rPr>
              <w:t>[BP 04]</w:t>
            </w:r>
            <w:r>
              <w:rPr>
                <w:szCs w:val="20"/>
              </w:rPr>
              <w:t xml:space="preserve">, </w:t>
            </w:r>
            <w:r>
              <w:rPr>
                <w:b/>
                <w:bCs/>
                <w:szCs w:val="20"/>
              </w:rPr>
              <w:t xml:space="preserve">[BP 06] </w:t>
            </w:r>
            <w:r>
              <w:rPr>
                <w:szCs w:val="20"/>
              </w:rPr>
              <w:t xml:space="preserve">en </w:t>
            </w:r>
            <w:r>
              <w:rPr>
                <w:b/>
                <w:bCs/>
                <w:szCs w:val="20"/>
              </w:rPr>
              <w:t>[BP 08]</w:t>
            </w:r>
            <w:r>
              <w:rPr>
                <w:szCs w:val="20"/>
              </w:rPr>
              <w:t xml:space="preserve">. </w:t>
            </w:r>
          </w:p>
          <w:p>
            <w:pPr>
              <w:pStyle w:val="Tekstblok"/>
              <w:rPr>
                <w:szCs w:val="20"/>
              </w:rPr>
            </w:pPr>
            <w:r>
              <w:rPr>
                <w:szCs w:val="20"/>
              </w:rPr>
              <w:t>Het CvTE kent meerdere toetsleveranciers voor de verschillende toetsen en examens. Een betrouwbare levering van de digitale examens en toetsen, waarbij de toets of examen weergegeven wordt zoals de toetsconstructeur het bedoeld heeft, is cruciaal voor het borgen van de kwaliteit.</w:t>
            </w:r>
          </w:p>
          <w:p>
            <w:pPr>
              <w:pStyle w:val="Tekstblok"/>
              <w:spacing w:lineRule="auto" w:line="264" w:before="0" w:after="140"/>
              <w:rPr/>
            </w:pPr>
            <w:r>
              <w:rPr>
                <w:szCs w:val="20"/>
              </w:rPr>
              <w:t>Daarom vereist het  CvTE toepassing van een open standaard. Het CvTE  heeft daarbij de keuze voor QTI gemaakt.</w:t>
            </w:r>
          </w:p>
        </w:tc>
      </w:tr>
      <w:tr>
        <w:trPr/>
        <w:tc>
          <w:tcPr>
            <w:tcW w:w="1810" w:type="dxa"/>
            <w:tcBorders/>
            <w:shd w:fill="auto" w:val="clear"/>
          </w:tcPr>
          <w:p>
            <w:pPr>
              <w:pStyle w:val="Inhoudtabel"/>
              <w:rPr/>
            </w:pPr>
            <w:r>
              <w:rPr/>
              <w:drawing>
                <wp:inline distT="0" distB="0" distL="0" distR="0">
                  <wp:extent cx="972820" cy="607695"/>
                  <wp:effectExtent l="0" t="0" r="0" b="0"/>
                  <wp:docPr id="11" name="Afbeelding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23" descr=""/>
                          <pic:cNvPicPr>
                            <a:picLocks noChangeAspect="1" noChangeArrowheads="1"/>
                          </pic:cNvPicPr>
                        </pic:nvPicPr>
                        <pic:blipFill>
                          <a:blip r:embed="rId29"/>
                          <a:stretch>
                            <a:fillRect/>
                          </a:stretch>
                        </pic:blipFill>
                        <pic:spPr bwMode="auto">
                          <a:xfrm>
                            <a:off x="0" y="0"/>
                            <a:ext cx="972820" cy="607695"/>
                          </a:xfrm>
                          <a:prstGeom prst="rect">
                            <a:avLst/>
                          </a:prstGeom>
                        </pic:spPr>
                      </pic:pic>
                    </a:graphicData>
                  </a:graphic>
                </wp:inline>
              </w:drawing>
            </w:r>
          </w:p>
        </w:tc>
        <w:tc>
          <w:tcPr>
            <w:tcW w:w="7827" w:type="dxa"/>
            <w:tcBorders/>
            <w:shd w:fill="auto" w:val="clear"/>
          </w:tcPr>
          <w:p>
            <w:pPr>
              <w:pStyle w:val="Tekstblok"/>
              <w:spacing w:lineRule="auto" w:line="264" w:before="0" w:after="140"/>
              <w:rPr>
                <w:szCs w:val="20"/>
              </w:rPr>
            </w:pPr>
            <w:r>
              <w:rPr>
                <w:szCs w:val="20"/>
              </w:rPr>
              <w:t xml:space="preserve">De toetsconstructie wordt buiten Facet door Cito gerealiseerd door middel van Questify Builder. Facet voorziet in een Q&amp;A functionaliteit waar de toets door materiedeskundigen (veel leden van de vaststellingscommissies) inhoudelijk en technisch doorgelicht wordt. </w:t>
            </w:r>
          </w:p>
        </w:tc>
      </w:tr>
    </w:tbl>
    <w:p>
      <w:pPr>
        <w:pStyle w:val="Inhoudtabel"/>
        <w:rPr>
          <w:szCs w:val="20"/>
        </w:rPr>
      </w:pPr>
      <w:r>
        <w:rPr>
          <w:szCs w:val="20"/>
        </w:rPr>
      </w:r>
    </w:p>
    <w:p>
      <w:pPr>
        <w:pStyle w:val="Normal"/>
        <w:rPr>
          <w:b/>
          <w:b/>
          <w:bCs/>
          <w:szCs w:val="20"/>
        </w:rPr>
      </w:pPr>
      <w:r>
        <w:rPr>
          <w:b/>
          <w:bCs/>
          <w:szCs w:val="20"/>
        </w:rPr>
      </w:r>
      <w:r>
        <w:br w:type="page"/>
      </w:r>
    </w:p>
    <w:p>
      <w:pPr>
        <w:pStyle w:val="Kop2"/>
        <w:numPr>
          <w:ilvl w:val="1"/>
          <w:numId w:val="22"/>
        </w:numPr>
        <w:rPr/>
      </w:pPr>
      <w:bookmarkStart w:id="33" w:name="_Toc524688271"/>
      <w:bookmarkStart w:id="34" w:name="_Toc523307507"/>
      <w:bookmarkStart w:id="35" w:name="_Toc517429729"/>
      <w:r>
        <w:rPr/>
        <w:t>Het plannen van een afname</w:t>
      </w:r>
      <w:bookmarkEnd w:id="33"/>
      <w:bookmarkEnd w:id="34"/>
      <w:bookmarkEnd w:id="35"/>
    </w:p>
    <w:p>
      <w:pPr>
        <w:pStyle w:val="Inhoudtabel"/>
        <w:rPr>
          <w:szCs w:val="20"/>
        </w:rPr>
      </w:pPr>
      <w:r>
        <w:rPr>
          <w:szCs w:val="20"/>
        </w:rPr>
        <w:t xml:space="preserve">De planning van een afname richt zich op het koppelen van de kandidaten aan een toets of examen inclusief de bijbehorende afnamecondities. Deze afnamecondities bevatten de locatie, het tijdstip en de toegestane hulpmiddelen. </w:t>
      </w:r>
    </w:p>
    <w:p>
      <w:pPr>
        <w:pStyle w:val="Inhoudtabel"/>
        <w:rPr>
          <w:szCs w:val="20"/>
        </w:rPr>
      </w:pPr>
      <w:r>
        <w:rPr>
          <w:szCs w:val="20"/>
        </w:rPr>
      </w:r>
    </w:p>
    <w:tbl>
      <w:tblPr>
        <w:tblW w:w="9638" w:type="dxa"/>
        <w:jc w:val="left"/>
        <w:tblInd w:w="-113" w:type="dxa"/>
        <w:tblBorders/>
        <w:tblCellMar>
          <w:top w:w="113" w:type="dxa"/>
          <w:left w:w="113" w:type="dxa"/>
          <w:bottom w:w="113" w:type="dxa"/>
          <w:right w:w="113" w:type="dxa"/>
        </w:tblCellMar>
        <w:tblLook w:noVBand="1" w:val="04a0" w:noHBand="0" w:lastColumn="0" w:firstColumn="1" w:lastRow="0" w:firstRow="1"/>
      </w:tblPr>
      <w:tblGrid>
        <w:gridCol w:w="1810"/>
        <w:gridCol w:w="7827"/>
      </w:tblGrid>
      <w:tr>
        <w:trPr/>
        <w:tc>
          <w:tcPr>
            <w:tcW w:w="1810" w:type="dxa"/>
            <w:tcBorders/>
            <w:shd w:fill="auto" w:val="clear"/>
          </w:tcPr>
          <w:p>
            <w:pPr>
              <w:pStyle w:val="Inhoudtabel"/>
              <w:rPr/>
            </w:pPr>
            <w:r>
              <w:rPr/>
              <w:drawing>
                <wp:inline distT="0" distB="0" distL="0" distR="0">
                  <wp:extent cx="972820" cy="607695"/>
                  <wp:effectExtent l="0" t="0" r="0" b="0"/>
                  <wp:docPr id="12" name="Afbeelding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3" descr=""/>
                          <pic:cNvPicPr>
                            <a:picLocks noChangeAspect="1" noChangeArrowheads="1"/>
                          </pic:cNvPicPr>
                        </pic:nvPicPr>
                        <pic:blipFill>
                          <a:blip r:embed="rId30"/>
                          <a:stretch>
                            <a:fillRect/>
                          </a:stretch>
                        </pic:blipFill>
                        <pic:spPr bwMode="auto">
                          <a:xfrm>
                            <a:off x="0" y="0"/>
                            <a:ext cx="972820" cy="607695"/>
                          </a:xfrm>
                          <a:prstGeom prst="rect">
                            <a:avLst/>
                          </a:prstGeom>
                        </pic:spPr>
                      </pic:pic>
                    </a:graphicData>
                  </a:graphic>
                </wp:inline>
              </w:drawing>
            </w:r>
          </w:p>
        </w:tc>
        <w:tc>
          <w:tcPr>
            <w:tcW w:w="7827" w:type="dxa"/>
            <w:tcBorders>
              <w:bottom w:val="single" w:sz="2" w:space="0" w:color="000000"/>
              <w:insideH w:val="single" w:sz="2" w:space="0" w:color="000000"/>
            </w:tcBorders>
            <w:shd w:fill="auto" w:val="clear"/>
          </w:tcPr>
          <w:p>
            <w:pPr>
              <w:pStyle w:val="Tekstblok"/>
              <w:rPr/>
            </w:pPr>
            <w:r>
              <w:rPr>
                <w:szCs w:val="20"/>
              </w:rPr>
              <w:t xml:space="preserve">De digitale evolutie binnen het onderwijsveld is vanuit twee verschillende behoeften geïnitieerd. Enerzijds zorgde de administratieve lastenverzwaring ervoor dat onderwijsinstellingen de behoefte kregen om de administratie digitaal te voeren in de vorm van een Leerling Administratie Systeem (LAS) en anderzijds werd vanuit de inhoud leerstof digitaal aangeboden. Lange tijd leefden deze systemen naast elkaar, zonder dat er sprake was van digitale koppelingen. Dit resulteerde erin dat de gegevens van leerlingen in verschillende systemen bijgehouden werd. Inmiddels is het LAS breed geaccepteerd als de bronregistratie van leerlinggegevens en zijn er vanuit het LAS (een veelvoud aan) koppelingen naar diverse andere educatieve applicaties. </w:t>
            </w:r>
          </w:p>
          <w:p>
            <w:pPr>
              <w:pStyle w:val="Tekstblok"/>
              <w:spacing w:lineRule="auto" w:line="264" w:before="0" w:after="140"/>
              <w:rPr/>
            </w:pPr>
            <w:r>
              <w:rPr>
                <w:szCs w:val="20"/>
              </w:rPr>
              <w:t xml:space="preserve">Op internationaal niveau vindt er momenteel een duidelijke verschuiving plaats voor wat betreft van de planningsfunctionaliteit. Daar waar voorheen de planning in het leermiddel zelf werd gedaan, komt deze in toenemende mate vanuit het leerlinginformatiesysteem. Hiervoor wordt in steeds grotere mate gebruik gemaakt van de Learning Tools Interoperability (LTI)  standaard. LTI is een standaard die het mogelijk maakt om een toets- of examensessie te starten vanuit een LVS en de resultaten na afloop direct terug te geven. In Nederland doet deze standaard langzaam zijn intrede via hogescholen en universiteiten onder regie van Surf. </w:t>
            </w:r>
          </w:p>
        </w:tc>
      </w:tr>
      <w:tr>
        <w:trPr/>
        <w:tc>
          <w:tcPr>
            <w:tcW w:w="1810" w:type="dxa"/>
            <w:tcBorders/>
            <w:shd w:fill="auto" w:val="clear"/>
          </w:tcPr>
          <w:p>
            <w:pPr>
              <w:pStyle w:val="Inhoudtabel"/>
              <w:rPr/>
            </w:pPr>
            <w:r>
              <w:rPr/>
              <w:drawing>
                <wp:inline distT="0" distB="0" distL="0" distR="0">
                  <wp:extent cx="972820" cy="607695"/>
                  <wp:effectExtent l="0" t="0" r="0" b="0"/>
                  <wp:docPr id="13" name="Afbeelding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9" descr=""/>
                          <pic:cNvPicPr>
                            <a:picLocks noChangeAspect="1" noChangeArrowheads="1"/>
                          </pic:cNvPicPr>
                        </pic:nvPicPr>
                        <pic:blipFill>
                          <a:blip r:embed="rId31"/>
                          <a:stretch>
                            <a:fillRect/>
                          </a:stretch>
                        </pic:blipFill>
                        <pic:spPr bwMode="auto">
                          <a:xfrm>
                            <a:off x="0" y="0"/>
                            <a:ext cx="972820" cy="607695"/>
                          </a:xfrm>
                          <a:prstGeom prst="rect">
                            <a:avLst/>
                          </a:prstGeom>
                        </pic:spPr>
                      </pic:pic>
                    </a:graphicData>
                  </a:graphic>
                </wp:inline>
              </w:drawing>
            </w:r>
          </w:p>
        </w:tc>
        <w:tc>
          <w:tcPr>
            <w:tcW w:w="7827" w:type="dxa"/>
            <w:tcBorders>
              <w:top w:val="single" w:sz="2" w:space="0" w:color="000000"/>
              <w:bottom w:val="single" w:sz="2" w:space="0" w:color="000000"/>
              <w:insideH w:val="single" w:sz="2" w:space="0" w:color="000000"/>
            </w:tcBorders>
            <w:shd w:fill="auto" w:val="clear"/>
          </w:tcPr>
          <w:p>
            <w:pPr>
              <w:pStyle w:val="Tekstblok"/>
              <w:rPr/>
            </w:pPr>
            <w:r>
              <w:rPr>
                <w:szCs w:val="20"/>
              </w:rPr>
              <w:t xml:space="preserve">Voor onderwijsinstellingen is het noodzaak om de administratieve lasten verder terug te dringen. Volgens het rapport </w:t>
            </w:r>
            <w:hyperlink r:id="rId32">
              <w:r>
                <w:rPr>
                  <w:rStyle w:val="Internetkoppeling"/>
                  <w:szCs w:val="20"/>
                </w:rPr>
                <w:t xml:space="preserve">Doordacht digitaal </w:t>
              </w:r>
            </w:hyperlink>
            <w:r>
              <w:rPr>
                <w:szCs w:val="20"/>
              </w:rPr>
              <w:t xml:space="preserve">van de Onderwijsraad zijn open standaarden noodzakelijk en dienen componenten en diensten beter samen te werken en vervangbaar te zijn. In praktische zin is de samenwerking tussen een leerlinginformatiesysteem en het digitale leermiddel randvoorwaardelijk. </w:t>
            </w:r>
          </w:p>
          <w:p>
            <w:pPr>
              <w:pStyle w:val="Tekstblok"/>
              <w:rPr>
                <w:szCs w:val="20"/>
              </w:rPr>
            </w:pPr>
            <w:r>
              <w:rPr>
                <w:szCs w:val="20"/>
              </w:rPr>
              <w:t>De grootste winst voor de onderwijsinstelling is het reduceren van de handmatige koppelingen, die veelal bestaan uit het transporteren en muteren van gegevens via Excel van het ene systeem naar het andere.</w:t>
            </w:r>
          </w:p>
          <w:p>
            <w:pPr>
              <w:pStyle w:val="Tekstblok"/>
              <w:spacing w:lineRule="auto" w:line="264" w:before="0" w:after="140"/>
              <w:rPr>
                <w:szCs w:val="20"/>
              </w:rPr>
            </w:pPr>
            <w:r>
              <w:rPr>
                <w:szCs w:val="20"/>
              </w:rPr>
              <w:t xml:space="preserve">Voor het PO en VO wordt in steeds toenemende mate gebruik gemaakt van UWLR als uitwisselingsmechanisme en het MBO kent voor Facet een eigen koppeling die zowel de gegevens van de kandidaten uitwisselt alsook de gegevens voor planningen. </w:t>
            </w:r>
          </w:p>
        </w:tc>
      </w:tr>
      <w:tr>
        <w:trPr/>
        <w:tc>
          <w:tcPr>
            <w:tcW w:w="1810" w:type="dxa"/>
            <w:tcBorders/>
            <w:shd w:fill="auto" w:val="clear"/>
          </w:tcPr>
          <w:p>
            <w:pPr>
              <w:pStyle w:val="Inhoudtabel"/>
              <w:rPr/>
            </w:pPr>
            <w:r>
              <w:rPr/>
              <w:drawing>
                <wp:inline distT="0" distB="0" distL="0" distR="0">
                  <wp:extent cx="972820" cy="607695"/>
                  <wp:effectExtent l="0" t="0" r="0" b="0"/>
                  <wp:docPr id="14"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1" descr=""/>
                          <pic:cNvPicPr>
                            <a:picLocks noChangeAspect="1" noChangeArrowheads="1"/>
                          </pic:cNvPicPr>
                        </pic:nvPicPr>
                        <pic:blipFill>
                          <a:blip r:embed="rId33"/>
                          <a:stretch>
                            <a:fillRect/>
                          </a:stretch>
                        </pic:blipFill>
                        <pic:spPr bwMode="auto">
                          <a:xfrm>
                            <a:off x="0" y="0"/>
                            <a:ext cx="972820" cy="607695"/>
                          </a:xfrm>
                          <a:prstGeom prst="rect">
                            <a:avLst/>
                          </a:prstGeom>
                        </pic:spPr>
                      </pic:pic>
                    </a:graphicData>
                  </a:graphic>
                </wp:inline>
              </w:drawing>
            </w:r>
          </w:p>
        </w:tc>
        <w:tc>
          <w:tcPr>
            <w:tcW w:w="7827" w:type="dxa"/>
            <w:tcBorders>
              <w:top w:val="single" w:sz="2" w:space="0" w:color="000000"/>
              <w:bottom w:val="single" w:sz="2" w:space="0" w:color="000000"/>
              <w:insideH w:val="single" w:sz="2" w:space="0" w:color="000000"/>
            </w:tcBorders>
            <w:shd w:fill="auto" w:val="clear"/>
          </w:tcPr>
          <w:p>
            <w:pPr>
              <w:pStyle w:val="Tekstblok"/>
              <w:rPr/>
            </w:pPr>
            <w:r>
              <w:rPr>
                <w:szCs w:val="20"/>
              </w:rPr>
              <w:t xml:space="preserve">Vanuit de wettelijke taak van het CvTE om </w:t>
            </w:r>
            <w:r>
              <w:rPr>
                <w:i/>
                <w:iCs/>
                <w:szCs w:val="20"/>
              </w:rPr>
              <w:t>scholen en instellingen de mogelijkheid te geven om de centrale examens en toetsen op een goede manier te kunnen afnemen</w:t>
            </w:r>
            <w:r>
              <w:rPr>
                <w:szCs w:val="20"/>
              </w:rPr>
              <w:t xml:space="preserve">, is het op een eenvoudige en efficiënte manier inplannen van toetsen en examens essentieel. Deze randvoorwaarde is vastgelegd in </w:t>
            </w:r>
            <w:r>
              <w:rPr>
                <w:b/>
                <w:bCs/>
                <w:szCs w:val="20"/>
              </w:rPr>
              <w:t>[PB 07]</w:t>
            </w:r>
            <w:r>
              <w:rPr>
                <w:szCs w:val="20"/>
              </w:rPr>
              <w:t xml:space="preserve">. </w:t>
            </w:r>
          </w:p>
          <w:p>
            <w:pPr>
              <w:pStyle w:val="Tekstblok"/>
              <w:rPr/>
            </w:pPr>
            <w:r>
              <w:rPr>
                <w:szCs w:val="20"/>
              </w:rPr>
              <w:t xml:space="preserve">Het CvTE is verantwoordelijk voor examens en toetsen voor de verschillende sectoren. Iedere sector heeft op dit moment een eigen manier om een examen of toets te plannen. </w:t>
            </w:r>
          </w:p>
          <w:p>
            <w:pPr>
              <w:pStyle w:val="Tekstblok"/>
              <w:spacing w:lineRule="auto" w:line="264" w:before="0" w:after="140"/>
              <w:rPr/>
            </w:pPr>
            <w:r>
              <w:rPr>
                <w:szCs w:val="20"/>
              </w:rPr>
              <w:t xml:space="preserve">Het plannen van een toets vergt nog veel manuele handelingen. Het CvTE streeft ernaar om examen en de beheerlast voor de onderwijsinstellingen verder terug te dringen door het gebruik van standaarden te stimuleren en waar nodig voor te schrijven. </w:t>
            </w:r>
          </w:p>
        </w:tc>
      </w:tr>
      <w:tr>
        <w:trPr/>
        <w:tc>
          <w:tcPr>
            <w:tcW w:w="1810" w:type="dxa"/>
            <w:tcBorders/>
            <w:shd w:fill="auto" w:val="clear"/>
          </w:tcPr>
          <w:p>
            <w:pPr>
              <w:pStyle w:val="Inhoudtabel"/>
              <w:rPr/>
            </w:pPr>
            <w:r>
              <w:rPr/>
              <w:drawing>
                <wp:inline distT="0" distB="0" distL="0" distR="0">
                  <wp:extent cx="972820" cy="607695"/>
                  <wp:effectExtent l="0" t="0" r="0" b="0"/>
                  <wp:docPr id="15" name="Afbeelding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2" descr=""/>
                          <pic:cNvPicPr>
                            <a:picLocks noChangeAspect="1" noChangeArrowheads="1"/>
                          </pic:cNvPicPr>
                        </pic:nvPicPr>
                        <pic:blipFill>
                          <a:blip r:embed="rId34"/>
                          <a:stretch>
                            <a:fillRect/>
                          </a:stretch>
                        </pic:blipFill>
                        <pic:spPr bwMode="auto">
                          <a:xfrm>
                            <a:off x="0" y="0"/>
                            <a:ext cx="972820" cy="607695"/>
                          </a:xfrm>
                          <a:prstGeom prst="rect">
                            <a:avLst/>
                          </a:prstGeom>
                        </pic:spPr>
                      </pic:pic>
                    </a:graphicData>
                  </a:graphic>
                </wp:inline>
              </w:drawing>
            </w:r>
          </w:p>
        </w:tc>
        <w:tc>
          <w:tcPr>
            <w:tcW w:w="7827" w:type="dxa"/>
            <w:tcBorders/>
            <w:shd w:fill="auto" w:val="clear"/>
          </w:tcPr>
          <w:p>
            <w:pPr>
              <w:pStyle w:val="Tekstblok"/>
              <w:rPr>
                <w:szCs w:val="20"/>
              </w:rPr>
            </w:pPr>
            <w:r>
              <w:rPr>
                <w:szCs w:val="20"/>
              </w:rPr>
              <w:t xml:space="preserve">Voor de meeste toetsen moeten onderwijsinstellingen via meerdere systemen een planning maken. Via een leerlinginformatiesysteem dienen eerst de kandidaatsgegevens geëxporteerd te worden, vervolgens worden deze gegevens ingelezen in Facet waarna een planning gemaakt kan worden. </w:t>
            </w:r>
          </w:p>
          <w:p>
            <w:pPr>
              <w:pStyle w:val="Tekstblok"/>
              <w:rPr>
                <w:szCs w:val="20"/>
              </w:rPr>
            </w:pPr>
            <w:r>
              <w:rPr>
                <w:szCs w:val="20"/>
              </w:rPr>
              <w:t>Facet biedt de mogelijkheid om op basis van een te kiezen toets/examen, kandidaatsgegevens en een tijdstip/locatie een planning te maken voor een afname. Tevens kunnen zaken als verklanking geactiveerd worden en kan men per afname kiezen of deze lokaal (FAO) of centraal (via de Cloud) afgenomen wordt.</w:t>
            </w:r>
          </w:p>
          <w:p>
            <w:pPr>
              <w:pStyle w:val="Tekstblok"/>
              <w:spacing w:lineRule="auto" w:line="264" w:before="0" w:after="140"/>
              <w:rPr/>
            </w:pPr>
            <w:r>
              <w:rPr>
                <w:szCs w:val="20"/>
              </w:rPr>
              <w:t xml:space="preserve">Enkel het MBO en de NT2 examens hebben de mogelijkheid om geautomatiseerd planningen naar Facet te sturen, de overige sectoren moeten werken met meerdere systemen om te komen tot een afnameplanning. Dit wordt vooral in het PO als omslachtig en zeer complex ervaren. </w:t>
            </w:r>
          </w:p>
        </w:tc>
      </w:tr>
    </w:tbl>
    <w:p>
      <w:pPr>
        <w:pStyle w:val="Kop2"/>
        <w:numPr>
          <w:ilvl w:val="1"/>
          <w:numId w:val="22"/>
        </w:numPr>
        <w:rPr/>
      </w:pPr>
      <w:bookmarkStart w:id="36" w:name="_Toc524688272"/>
      <w:bookmarkStart w:id="37" w:name="_Toc523307508"/>
      <w:bookmarkStart w:id="38" w:name="_Toc517429730"/>
      <w:r>
        <w:rPr/>
        <w:t>Het afnemen van een toets of examen</w:t>
      </w:r>
      <w:bookmarkEnd w:id="36"/>
      <w:bookmarkEnd w:id="37"/>
      <w:bookmarkEnd w:id="38"/>
    </w:p>
    <w:p>
      <w:pPr>
        <w:pStyle w:val="Tekstblok"/>
        <w:rPr>
          <w:szCs w:val="20"/>
        </w:rPr>
      </w:pPr>
      <w:r>
        <w:rPr>
          <w:szCs w:val="20"/>
        </w:rPr>
        <w:t xml:space="preserve">Het afnemen van een toets door de kandidaat. De handelingen die verricht worden door de kandidaat en de antwoorden die gegeven zijn, leiden tot een afnamerespons. De afnamerespons wordt gescoord op basis van de regels die zijn opgenomen in het toetsbestand. Gedurende de afname wordt deze bewaakt via een afnamemonitor door de afnameleider. </w:t>
      </w:r>
    </w:p>
    <w:tbl>
      <w:tblPr>
        <w:tblW w:w="9638" w:type="dxa"/>
        <w:jc w:val="left"/>
        <w:tblInd w:w="-113" w:type="dxa"/>
        <w:tblBorders/>
        <w:tblCellMar>
          <w:top w:w="113" w:type="dxa"/>
          <w:left w:w="113" w:type="dxa"/>
          <w:bottom w:w="113" w:type="dxa"/>
          <w:right w:w="113" w:type="dxa"/>
        </w:tblCellMar>
        <w:tblLook w:noVBand="1" w:val="04a0" w:noHBand="0" w:lastColumn="0" w:firstColumn="1" w:lastRow="0" w:firstRow="1"/>
      </w:tblPr>
      <w:tblGrid>
        <w:gridCol w:w="1810"/>
        <w:gridCol w:w="7827"/>
      </w:tblGrid>
      <w:tr>
        <w:trPr/>
        <w:tc>
          <w:tcPr>
            <w:tcW w:w="1810" w:type="dxa"/>
            <w:tcBorders/>
            <w:shd w:fill="auto" w:val="clear"/>
          </w:tcPr>
          <w:p>
            <w:pPr>
              <w:pStyle w:val="Inhoudtabel"/>
              <w:rPr/>
            </w:pPr>
            <w:r>
              <w:rPr/>
              <w:drawing>
                <wp:inline distT="0" distB="0" distL="0" distR="0">
                  <wp:extent cx="972820" cy="607695"/>
                  <wp:effectExtent l="0" t="0" r="0" b="0"/>
                  <wp:docPr id="16" name="Afbeelding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10" descr=""/>
                          <pic:cNvPicPr>
                            <a:picLocks noChangeAspect="1" noChangeArrowheads="1"/>
                          </pic:cNvPicPr>
                        </pic:nvPicPr>
                        <pic:blipFill>
                          <a:blip r:embed="rId35"/>
                          <a:stretch>
                            <a:fillRect/>
                          </a:stretch>
                        </pic:blipFill>
                        <pic:spPr bwMode="auto">
                          <a:xfrm>
                            <a:off x="0" y="0"/>
                            <a:ext cx="972820" cy="607695"/>
                          </a:xfrm>
                          <a:prstGeom prst="rect">
                            <a:avLst/>
                          </a:prstGeom>
                        </pic:spPr>
                      </pic:pic>
                    </a:graphicData>
                  </a:graphic>
                </wp:inline>
              </w:drawing>
            </w:r>
          </w:p>
        </w:tc>
        <w:tc>
          <w:tcPr>
            <w:tcW w:w="7827" w:type="dxa"/>
            <w:tcBorders>
              <w:bottom w:val="single" w:sz="2" w:space="0" w:color="000000"/>
              <w:insideH w:val="single" w:sz="2" w:space="0" w:color="000000"/>
            </w:tcBorders>
            <w:shd w:fill="auto" w:val="clear"/>
          </w:tcPr>
          <w:p>
            <w:pPr>
              <w:pStyle w:val="Tekstblok"/>
              <w:rPr>
                <w:szCs w:val="20"/>
              </w:rPr>
            </w:pPr>
            <w:r>
              <w:rPr>
                <w:szCs w:val="20"/>
              </w:rPr>
              <w:t xml:space="preserve">Voor het goed afnemen van een toets en examen spelen twee factoren een belangrijke rol. Enerzijds is dat een veilige omgeving te creëren waarin de kandidaat niet in de gelegenheid wordt gesteld om een uitstapje te maken en anderzijds dient de toets zodanig weergegeven en verwerkt te worden zoals de constructeur het bedoeld heeft. </w:t>
            </w:r>
          </w:p>
          <w:p>
            <w:pPr>
              <w:pStyle w:val="Tekstblok"/>
              <w:rPr>
                <w:szCs w:val="20"/>
              </w:rPr>
            </w:pPr>
            <w:r>
              <w:rPr>
                <w:szCs w:val="20"/>
              </w:rPr>
              <w:t>Met de ontwikkeling van de systemen en de software groeien ook de mogelijkheden van de toets. Waar in het verleden veelal sprake was van het presenteren van eenvoudige meerkeuze vragen, komen recent steeds meer interactieve items beschikbaar. Dit vergroot de interactie met de kandidaat waardoor er op meer aspecten getoetst kan worden. Tevens kan er meer gebruik gemaakt worden van het afspelen van video- en audiofragmenten waardoor specifieke vakken als kunst, drama en dans verrijkt kunnen worden.</w:t>
            </w:r>
          </w:p>
          <w:p>
            <w:pPr>
              <w:pStyle w:val="Tekstblok"/>
              <w:rPr>
                <w:szCs w:val="20"/>
              </w:rPr>
            </w:pPr>
            <w:r>
              <w:rPr>
                <w:szCs w:val="20"/>
              </w:rPr>
              <w:t>Ook de wijze van afname verandert langzaam. Waar toetsen in het verleden veel meer gebouwd werden op een statisch toetspad doet adaptiviteit steeds meer intrede. Een adaptieve toets past zich aan het niveau van de kandidaat aan. Hierdoor kan sneller en beter inzicht verkregen worden in het niveau van de kandidaat.</w:t>
            </w:r>
          </w:p>
          <w:p>
            <w:pPr>
              <w:pStyle w:val="Tekstblok"/>
              <w:rPr/>
            </w:pPr>
            <w:r>
              <w:rPr>
                <w:szCs w:val="20"/>
              </w:rPr>
              <w:t xml:space="preserve">Dergelijke verrijkte toetsen vereisen een goede standaard indien toetsmateriaal tussen systemen uitgewisseld dienen te worden. Hiertoe dient de QTI-standaard, die internationaal steeds meer gebruikt wordt. </w:t>
            </w:r>
          </w:p>
          <w:p>
            <w:pPr>
              <w:pStyle w:val="Tekstblok"/>
              <w:rPr>
                <w:szCs w:val="20"/>
              </w:rPr>
            </w:pPr>
            <w:r>
              <w:rPr>
                <w:szCs w:val="20"/>
              </w:rPr>
              <w:t xml:space="preserve">Steeds meer toetssystemen zijn webgebaseerd door gebruik te maken van de HTML5 standaard. Er is echter nog steeds geen sprake van een eenduidige implementatie van de standaard, waardoor de constructie van geavanceerde toetsen steeds complexer wordt en meer tijd vergt. Dat  geldt des te meer  indien meerdere devices ondersteunen moet worden. </w:t>
            </w:r>
          </w:p>
          <w:p>
            <w:pPr>
              <w:pStyle w:val="Tekstblok"/>
              <w:rPr/>
            </w:pPr>
            <w:r>
              <w:rPr>
                <w:szCs w:val="20"/>
              </w:rPr>
              <w:t xml:space="preserve">Het creëren van een veilige toetsomgeving is zeer lastig. In het verleden toen de PC markt gedomineerd werd door Microsoft en de systemen bestonden uit een beeldscherm, toetsenbord en muis, was het eenvoudig. Een kleine aanpassing in het besturingssysteem was genoeg om een veilige toetsomgeving te realiseren. Echter door toenemende connectiviteit via het Internet en de toenemende functionaliteit in het besturingssysteem zelf ontstonden er steeds meer potentiële beveiligingsgaten, die op hun beurt weer resulteerden in steeds meer beveiligingsupdates. Daarbij kent het onderwijs naast Microsoft nu ook Apple en Chromebooks, die steeds meer toegepast worden in het onderwijs. </w:t>
            </w:r>
          </w:p>
          <w:p>
            <w:pPr>
              <w:pStyle w:val="Tekstblok"/>
              <w:rPr>
                <w:szCs w:val="20"/>
              </w:rPr>
            </w:pPr>
            <w:r>
              <w:rPr>
                <w:szCs w:val="20"/>
              </w:rPr>
              <w:t xml:space="preserve">Er zijn twee oplossingsrichtingen mogelijk om de risico’s op lekken van exameninhoud of het oneigenlijk verkrijgen van informatie te voorkomen. </w:t>
            </w:r>
          </w:p>
          <w:p>
            <w:pPr>
              <w:pStyle w:val="Tekstblok"/>
              <w:rPr>
                <w:szCs w:val="20"/>
              </w:rPr>
            </w:pPr>
            <w:r>
              <w:rPr>
                <w:szCs w:val="20"/>
              </w:rPr>
              <w:t xml:space="preserve">Enerzijds door het besturingssysteem als bastion in te richten, anderzijds door middel van geavanceerde technologie het gedrag van de kandidaat nauwlettend in de gaten te houden; ‘proctoring’. Wat betreft het laatste, hiervoor is geavanceerde software benodigd en hulpmiddelen zoals de camera (in de laptop) en monitoring van toetsenbord en muis. </w:t>
            </w:r>
          </w:p>
          <w:p>
            <w:pPr>
              <w:pStyle w:val="Tekstblok"/>
              <w:rPr/>
            </w:pPr>
            <w:r>
              <w:rPr>
                <w:szCs w:val="20"/>
              </w:rPr>
              <w:t>De eerste oplossing om het besturingssysteem als bastion in te richten, wordt toegepast op recente commercieel beschikbare devices, zoals iPad en Chromebook. Deze devices kennen een mode waarin de gebruiker enkel datgene kan doen dat hem is toebedeeld. De B-CLD gebruikt dezelfde techniek voor de reguliere systemen die deze functionaliteit van zichzelf nog niet hebben, zoals reguliere Windows en macOS systemen.</w:t>
            </w:r>
          </w:p>
          <w:p>
            <w:pPr>
              <w:pStyle w:val="Tekstblok"/>
              <w:spacing w:lineRule="auto" w:line="264" w:before="0" w:after="140"/>
              <w:rPr/>
            </w:pPr>
            <w:r>
              <w:rPr>
                <w:szCs w:val="20"/>
              </w:rPr>
              <w:t xml:space="preserve">Helaas geldt voor de oplossingen in de iPad en Chromebook, dat deze geen voorzieningen leveren die een exacte opmaak en verwerking garanderen voor alle gebruikte devices. Dit resulteert in veel maatwerk en intensief testen van alle devices voordat deze binnen de digitale examenketen effectief kunnen worden toegepast. </w:t>
            </w:r>
          </w:p>
        </w:tc>
      </w:tr>
      <w:tr>
        <w:trPr/>
        <w:tc>
          <w:tcPr>
            <w:tcW w:w="1810" w:type="dxa"/>
            <w:tcBorders/>
            <w:shd w:fill="auto" w:val="clear"/>
          </w:tcPr>
          <w:p>
            <w:pPr>
              <w:pStyle w:val="Inhoudtabel"/>
              <w:rPr/>
            </w:pPr>
            <w:r>
              <w:rPr/>
              <w:drawing>
                <wp:inline distT="0" distB="0" distL="0" distR="0">
                  <wp:extent cx="972820" cy="607695"/>
                  <wp:effectExtent l="0" t="0" r="0" b="0"/>
                  <wp:docPr id="17" name="Afbeelding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11" descr=""/>
                          <pic:cNvPicPr>
                            <a:picLocks noChangeAspect="1" noChangeArrowheads="1"/>
                          </pic:cNvPicPr>
                        </pic:nvPicPr>
                        <pic:blipFill>
                          <a:blip r:embed="rId36"/>
                          <a:stretch>
                            <a:fillRect/>
                          </a:stretch>
                        </pic:blipFill>
                        <pic:spPr bwMode="auto">
                          <a:xfrm>
                            <a:off x="0" y="0"/>
                            <a:ext cx="972820" cy="607695"/>
                          </a:xfrm>
                          <a:prstGeom prst="rect">
                            <a:avLst/>
                          </a:prstGeom>
                        </pic:spPr>
                      </pic:pic>
                    </a:graphicData>
                  </a:graphic>
                </wp:inline>
              </w:drawing>
            </w:r>
          </w:p>
        </w:tc>
        <w:tc>
          <w:tcPr>
            <w:tcW w:w="7827" w:type="dxa"/>
            <w:tcBorders>
              <w:top w:val="single" w:sz="2" w:space="0" w:color="000000"/>
              <w:bottom w:val="single" w:sz="2" w:space="0" w:color="000000"/>
              <w:insideH w:val="single" w:sz="2" w:space="0" w:color="000000"/>
            </w:tcBorders>
            <w:shd w:fill="auto" w:val="clear"/>
          </w:tcPr>
          <w:p>
            <w:pPr>
              <w:pStyle w:val="Tekstblok"/>
              <w:rPr/>
            </w:pPr>
            <w:r>
              <w:rPr>
                <w:szCs w:val="20"/>
              </w:rPr>
              <w:t xml:space="preserve">Het onderwijsveld vraagt om meer flexibiliteit als het gaat om examinering. De Onderwijsraad pleit in het rapport </w:t>
            </w:r>
            <w:hyperlink r:id="rId37">
              <w:r>
                <w:rPr>
                  <w:rStyle w:val="Internetkoppeling"/>
                  <w:szCs w:val="20"/>
                </w:rPr>
                <w:t>doordacht digitaal</w:t>
              </w:r>
            </w:hyperlink>
            <w:r>
              <w:rPr>
                <w:szCs w:val="20"/>
              </w:rPr>
              <w:t xml:space="preserve"> alsook de VO-raad in het </w:t>
            </w:r>
            <w:hyperlink r:id="rId38">
              <w:r>
                <w:rPr>
                  <w:rStyle w:val="Internetkoppeling"/>
                  <w:szCs w:val="20"/>
                </w:rPr>
                <w:t>pleidooi voor herijking van de examinering in het VO</w:t>
              </w:r>
            </w:hyperlink>
            <w:r>
              <w:rPr>
                <w:szCs w:val="20"/>
              </w:rPr>
              <w:t xml:space="preserve"> voor meer momenten om te examineren. Dit lijkt vanuit kostenoptiek enkel mogelijk in de vorm van digitaal examineren. Ook door de groei van digitale leermiddelen neemt het belang van en aantal van formatieve toetsen toe. De diversiteit tussen de toetsen is groot en de standaardisatie tot op heden zeer beperkt. Waardoor een onderwijsinstelling wel verplicht wordt veel verschillende systemen te gebruiken. Enerzijds zal de samenwerking tussen deze systemen moeten verbeteren, terwijl anderzijds –vanuit kosten optiek – het streven is om het aantal noodzakelijke systemen te reduceren. </w:t>
            </w:r>
          </w:p>
          <w:p>
            <w:pPr>
              <w:pStyle w:val="Tekstblok"/>
              <w:rPr/>
            </w:pPr>
            <w:r>
              <w:rPr>
                <w:szCs w:val="20"/>
              </w:rPr>
              <w:t xml:space="preserve">Een </w:t>
            </w:r>
            <w:hyperlink r:id="rId39">
              <w:r>
                <w:rPr>
                  <w:rStyle w:val="Internetkoppeling"/>
                  <w:szCs w:val="20"/>
                </w:rPr>
                <w:t>onderzoek</w:t>
              </w:r>
            </w:hyperlink>
            <w:r>
              <w:rPr>
                <w:szCs w:val="20"/>
              </w:rPr>
              <w:t xml:space="preserve"> dat in 2016 uitgevoerd is in opdracht van </w:t>
            </w:r>
            <w:hyperlink r:id="rId40">
              <w:r>
                <w:rPr>
                  <w:rStyle w:val="Internetkoppeling"/>
                  <w:szCs w:val="20"/>
                </w:rPr>
                <w:t>COMIT</w:t>
              </w:r>
            </w:hyperlink>
            <w:r>
              <w:rPr>
                <w:szCs w:val="20"/>
              </w:rPr>
              <w:t xml:space="preserve"> (overleg orgaan van IT-managers hbo-instellingen) beschrijft de complexiteit en diversiteit om te komen tot een veilige toetsomgeving. Een van de opties die genoemd werd om te proberen door de hbo instellingen is gebruik te maken van een Linux/PXE omgeving. Een exact dezelfde omgeving die gerealiseerd is met de B-CLD. </w:t>
            </w:r>
          </w:p>
          <w:p>
            <w:pPr>
              <w:pStyle w:val="Tekstblok"/>
              <w:spacing w:lineRule="auto" w:line="264" w:before="0" w:after="140"/>
              <w:rPr/>
            </w:pPr>
            <w:r>
              <w:rPr>
                <w:szCs w:val="20"/>
              </w:rPr>
              <w:t xml:space="preserve">Het afnemen van examens is niet enkel voorbehouden aan het Ministerie van Onderwijs, Cultuur en Wetenschappen. Zo kent het Centraal Bureau voor Rijvaardigheid (CBR) een examensysteem dat gebaseerd is op de afnamespeler van Facet  en QTI voor het afnemen van het theorie examen. Voor inburgeringsexamens (voor het Ministerie van SZW) gebruikt DUO een examensysteem van een externe partij. </w:t>
            </w:r>
          </w:p>
        </w:tc>
      </w:tr>
      <w:tr>
        <w:trPr/>
        <w:tc>
          <w:tcPr>
            <w:tcW w:w="1810" w:type="dxa"/>
            <w:tcBorders/>
            <w:shd w:fill="auto" w:val="clear"/>
          </w:tcPr>
          <w:p>
            <w:pPr>
              <w:pStyle w:val="Inhoudtabel"/>
              <w:rPr/>
            </w:pPr>
            <w:r>
              <w:rPr/>
              <w:drawing>
                <wp:inline distT="0" distB="0" distL="0" distR="0">
                  <wp:extent cx="972820" cy="607695"/>
                  <wp:effectExtent l="0" t="0" r="0" b="0"/>
                  <wp:docPr id="18" name="Afbeelding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12" descr=""/>
                          <pic:cNvPicPr>
                            <a:picLocks noChangeAspect="1" noChangeArrowheads="1"/>
                          </pic:cNvPicPr>
                        </pic:nvPicPr>
                        <pic:blipFill>
                          <a:blip r:embed="rId41"/>
                          <a:stretch>
                            <a:fillRect/>
                          </a:stretch>
                        </pic:blipFill>
                        <pic:spPr bwMode="auto">
                          <a:xfrm>
                            <a:off x="0" y="0"/>
                            <a:ext cx="972820" cy="607695"/>
                          </a:xfrm>
                          <a:prstGeom prst="rect">
                            <a:avLst/>
                          </a:prstGeom>
                        </pic:spPr>
                      </pic:pic>
                    </a:graphicData>
                  </a:graphic>
                </wp:inline>
              </w:drawing>
            </w:r>
          </w:p>
        </w:tc>
        <w:tc>
          <w:tcPr>
            <w:tcW w:w="7827" w:type="dxa"/>
            <w:tcBorders>
              <w:top w:val="single" w:sz="2" w:space="0" w:color="000000"/>
              <w:bottom w:val="single" w:sz="2" w:space="0" w:color="000000"/>
              <w:insideH w:val="single" w:sz="2" w:space="0" w:color="000000"/>
            </w:tcBorders>
            <w:shd w:fill="auto" w:val="clear"/>
          </w:tcPr>
          <w:p>
            <w:pPr>
              <w:pStyle w:val="Tekstblok"/>
              <w:rPr/>
            </w:pPr>
            <w:r>
              <w:rPr>
                <w:szCs w:val="20"/>
              </w:rPr>
              <w:t xml:space="preserve">Vanuit de wettelijke taak van het CvTE om </w:t>
            </w:r>
            <w:r>
              <w:rPr>
                <w:i/>
                <w:szCs w:val="20"/>
              </w:rPr>
              <w:t xml:space="preserve">de </w:t>
            </w:r>
            <w:r>
              <w:rPr>
                <w:i/>
                <w:iCs/>
                <w:szCs w:val="20"/>
              </w:rPr>
              <w:t>kwaliteit en het niveau van de centrale examens en toetsen in Nederland op peil te houden</w:t>
            </w:r>
            <w:r>
              <w:rPr>
                <w:szCs w:val="20"/>
              </w:rPr>
              <w:t xml:space="preserve"> zijn gelijke voorwaarden en goede geheimhouding randvoorwaardelijk. Deze randvoorwaarden zijn ook vastgelegd in </w:t>
            </w:r>
            <w:r>
              <w:rPr>
                <w:b/>
                <w:bCs/>
                <w:szCs w:val="20"/>
              </w:rPr>
              <w:t>[BP 03]</w:t>
            </w:r>
            <w:r>
              <w:rPr>
                <w:szCs w:val="20"/>
              </w:rPr>
              <w:t xml:space="preserve">, </w:t>
            </w:r>
            <w:r>
              <w:rPr>
                <w:b/>
                <w:bCs/>
                <w:szCs w:val="20"/>
              </w:rPr>
              <w:t>[BP 04]</w:t>
            </w:r>
            <w:r>
              <w:rPr>
                <w:szCs w:val="20"/>
              </w:rPr>
              <w:t xml:space="preserve">, </w:t>
            </w:r>
            <w:r>
              <w:rPr>
                <w:b/>
                <w:bCs/>
                <w:szCs w:val="20"/>
              </w:rPr>
              <w:t xml:space="preserve">[BP 06] </w:t>
            </w:r>
            <w:r>
              <w:rPr>
                <w:szCs w:val="20"/>
              </w:rPr>
              <w:t xml:space="preserve">en </w:t>
            </w:r>
            <w:r>
              <w:rPr>
                <w:b/>
                <w:bCs/>
                <w:szCs w:val="20"/>
              </w:rPr>
              <w:t>[BP 08]</w:t>
            </w:r>
            <w:r>
              <w:rPr>
                <w:szCs w:val="20"/>
              </w:rPr>
              <w:t>.</w:t>
            </w:r>
          </w:p>
          <w:p>
            <w:pPr>
              <w:pStyle w:val="Tekstblok"/>
              <w:rPr/>
            </w:pPr>
            <w:r>
              <w:rPr>
                <w:szCs w:val="20"/>
              </w:rPr>
              <w:t xml:space="preserve">De gelijke voorwaarden betekent vanuit het CvTE dat iedere kandidaat onder gelijkwaardige condities in staat gesteld wordt om een toets of examen te maken. Deze eis is verder aangescherpt door toedoen van het College voor de rechten van de mens, waardoor de digitale toets ook beschikbaar moet zijn voor kandidaten met een beperking. </w:t>
            </w:r>
          </w:p>
          <w:p>
            <w:pPr>
              <w:pStyle w:val="Tekstblok"/>
              <w:rPr/>
            </w:pPr>
            <w:r>
              <w:rPr>
                <w:szCs w:val="20"/>
              </w:rPr>
              <w:t xml:space="preserve">Gelijke voorwaarden betekent ook dat niemand in het voordeel mag zijn. Geheimhouding van de toetsinhoud is hierbij cruciaal. Het CvTE ziet vanuit haar verantwoordelijkheid dan ook de verplichting de benodigde middelen beschikbaar te stellen om aanvullende maatregelen te treffen om gedurende de afnames het lekken van informatie te voorkomen, bovenop de extra maatregelen om de opmaak en verwerking te garanderen voor alle devices die het CvTE ondersteunt. </w:t>
            </w:r>
          </w:p>
          <w:p>
            <w:pPr>
              <w:pStyle w:val="Tekstblok"/>
              <w:rPr/>
            </w:pPr>
            <w:r>
              <w:rPr>
                <w:szCs w:val="20"/>
              </w:rPr>
              <w:t xml:space="preserve">De ambitie van het CvTE is om meer examens onder te brengen in Facet, mits de randvoorwaarden ingevuld zijn.  </w:t>
            </w:r>
          </w:p>
          <w:p>
            <w:pPr>
              <w:pStyle w:val="Normal"/>
              <w:rPr/>
            </w:pPr>
            <w:r>
              <w:rPr/>
              <w:t>Wat betreft vmbo examens (BB en KB) geldt dat digitaal en flexibel afgenomen kan worden, indien:</w:t>
            </w:r>
          </w:p>
          <w:p>
            <w:pPr>
              <w:pStyle w:val="Normal"/>
              <w:rPr/>
            </w:pPr>
            <w:r>
              <w:rPr/>
            </w:r>
          </w:p>
          <w:p>
            <w:pPr>
              <w:pStyle w:val="ListParagraph"/>
              <w:numPr>
                <w:ilvl w:val="0"/>
                <w:numId w:val="25"/>
              </w:numPr>
              <w:rPr>
                <w:sz w:val="20"/>
              </w:rPr>
            </w:pPr>
            <w:r>
              <w:rPr>
                <w:sz w:val="20"/>
              </w:rPr>
              <w:t>het computerprogramma platformonafhankelijk is (met Facet is dat inmiddels gerealiseerd);</w:t>
            </w:r>
          </w:p>
          <w:p>
            <w:pPr>
              <w:pStyle w:val="ListParagraph"/>
              <w:numPr>
                <w:ilvl w:val="0"/>
                <w:numId w:val="25"/>
              </w:numPr>
              <w:rPr>
                <w:sz w:val="20"/>
              </w:rPr>
            </w:pPr>
            <w:r>
              <w:rPr>
                <w:sz w:val="20"/>
              </w:rPr>
              <w:t>de opgaven openbaar gemaakt worden (moties Van Meenen en Vermue);</w:t>
            </w:r>
          </w:p>
          <w:p>
            <w:pPr>
              <w:pStyle w:val="ListParagraph"/>
              <w:numPr>
                <w:ilvl w:val="0"/>
                <w:numId w:val="25"/>
              </w:numPr>
              <w:rPr>
                <w:sz w:val="20"/>
              </w:rPr>
            </w:pPr>
            <w:r>
              <w:rPr>
                <w:sz w:val="20"/>
              </w:rPr>
              <w:t>een systeem van tweede correctie ingevoerd is bij BB- en KB-flex (antwoord van de staatssecretaris op een kamervraag van mw. Jadnanansing).</w:t>
            </w:r>
          </w:p>
          <w:p>
            <w:pPr>
              <w:pStyle w:val="ListParagraph"/>
              <w:rPr>
                <w:sz w:val="20"/>
              </w:rPr>
            </w:pPr>
            <w:r>
              <w:rPr>
                <w:sz w:val="20"/>
              </w:rPr>
            </w:r>
          </w:p>
          <w:p>
            <w:pPr>
              <w:pStyle w:val="Tekstblok"/>
              <w:rPr/>
            </w:pPr>
            <w:r>
              <w:rPr>
                <w:szCs w:val="20"/>
              </w:rPr>
              <w:t xml:space="preserve">Dit laatste punt is nog niet volledig geïmplementeerd maar zal na verwachting dit schooljaar afgerond zijn. </w:t>
            </w:r>
          </w:p>
          <w:p>
            <w:pPr>
              <w:pStyle w:val="Tekstblok"/>
              <w:spacing w:lineRule="auto" w:line="264" w:before="0" w:after="140"/>
              <w:rPr/>
            </w:pPr>
            <w:r>
              <w:rPr>
                <w:szCs w:val="20"/>
              </w:rPr>
              <w:t>Voor wat betreft de havo en vwo examens wordt de mogelijkheid onderzocht om wiskunde digitaal af te nemen. Door deze examens in Facet af te nemen, kan Facet een wetenschappelijke rekenmachine aanbieden waar geen mogelijkheden zitten om te spieken.</w:t>
            </w:r>
          </w:p>
        </w:tc>
      </w:tr>
      <w:tr>
        <w:trPr/>
        <w:tc>
          <w:tcPr>
            <w:tcW w:w="1810" w:type="dxa"/>
            <w:tcBorders/>
            <w:shd w:fill="auto" w:val="clear"/>
          </w:tcPr>
          <w:p>
            <w:pPr>
              <w:pStyle w:val="Inhoudtabel"/>
              <w:rPr/>
            </w:pPr>
            <w:r>
              <w:rPr/>
              <w:drawing>
                <wp:inline distT="0" distB="0" distL="0" distR="0">
                  <wp:extent cx="972820" cy="607695"/>
                  <wp:effectExtent l="0" t="0" r="0" b="0"/>
                  <wp:docPr id="19" name="Afbeelding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13" descr=""/>
                          <pic:cNvPicPr>
                            <a:picLocks noChangeAspect="1" noChangeArrowheads="1"/>
                          </pic:cNvPicPr>
                        </pic:nvPicPr>
                        <pic:blipFill>
                          <a:blip r:embed="rId42"/>
                          <a:stretch>
                            <a:fillRect/>
                          </a:stretch>
                        </pic:blipFill>
                        <pic:spPr bwMode="auto">
                          <a:xfrm>
                            <a:off x="0" y="0"/>
                            <a:ext cx="972820" cy="607695"/>
                          </a:xfrm>
                          <a:prstGeom prst="rect">
                            <a:avLst/>
                          </a:prstGeom>
                        </pic:spPr>
                      </pic:pic>
                    </a:graphicData>
                  </a:graphic>
                </wp:inline>
              </w:drawing>
            </w:r>
          </w:p>
        </w:tc>
        <w:tc>
          <w:tcPr>
            <w:tcW w:w="7827" w:type="dxa"/>
            <w:tcBorders/>
            <w:shd w:fill="auto" w:val="clear"/>
          </w:tcPr>
          <w:p>
            <w:pPr>
              <w:pStyle w:val="Tekstblok"/>
              <w:rPr/>
            </w:pPr>
            <w:r>
              <w:rPr>
                <w:szCs w:val="20"/>
              </w:rPr>
              <w:t xml:space="preserve">De opmaak van toetsen en examens en verwerking in Facet, die beiden gebaseerd zijn op QTI, is zeer geavanceerd. Het zijn dan ook die eigenschappen in Facet die de diagnostische tussentijdse toets en de adaptieve centrale eindtoets mogelijk hebben gemaakt. Zowel nationaal alsook internationaal heeft Facet een hoog aanzien. De wijze waarop het systeem, ongeacht het device, de toets weergeeft zoals de constructeur het heeft bedoeld, is ongeëvenaard. Ook de wijze waarop scholen de afname omgeving aan client zijde kunnen klaarzetten voor afname is innovatief te noemen. Deze eigenschappen maken Facet nog tot een uniek product. </w:t>
            </w:r>
          </w:p>
          <w:p>
            <w:pPr>
              <w:pStyle w:val="Tekstblok"/>
              <w:spacing w:lineRule="auto" w:line="264" w:before="0" w:after="140"/>
              <w:rPr/>
            </w:pPr>
            <w:r>
              <w:rPr/>
            </w:r>
          </w:p>
        </w:tc>
      </w:tr>
    </w:tbl>
    <w:p>
      <w:pPr>
        <w:pStyle w:val="Kop2"/>
        <w:numPr>
          <w:ilvl w:val="1"/>
          <w:numId w:val="22"/>
        </w:numPr>
        <w:rPr/>
      </w:pPr>
      <w:bookmarkStart w:id="39" w:name="_Toc524688273"/>
      <w:bookmarkStart w:id="40" w:name="_Toc517429731"/>
      <w:bookmarkStart w:id="41" w:name="_Toc523307509"/>
      <w:r>
        <w:rPr/>
        <w:t>Analyseren van de afname(resultaten)</w:t>
      </w:r>
      <w:bookmarkEnd w:id="39"/>
      <w:bookmarkEnd w:id="40"/>
      <w:bookmarkEnd w:id="41"/>
    </w:p>
    <w:p>
      <w:pPr>
        <w:pStyle w:val="Tekstblok"/>
        <w:rPr/>
      </w:pPr>
      <w:r>
        <w:rPr>
          <w:szCs w:val="20"/>
        </w:rPr>
        <w:t xml:space="preserve">De afnamerespons wordt geanalyseerd en eventueel genormeerd. Op basis van de normering leidt de gescoorde afnamerespons tot een toetsresultaat. Het proces van analyseren en normeren is complex. Op basis van alle beschikbare resultaten zal een analyse uitgevoerd moeten worden op de kwaliteit van de voorgelegde opgaven: Op basis van de afnamerespons kan de moeilijkheid, het onderscheidend vermogen en de gekozen (goede) antwoorden per opgave worden vastgesteld. Op basis van deze analyse wordt de normering vastgesteld. </w:t>
      </w:r>
    </w:p>
    <w:tbl>
      <w:tblPr>
        <w:tblW w:w="9638" w:type="dxa"/>
        <w:jc w:val="left"/>
        <w:tblInd w:w="-113" w:type="dxa"/>
        <w:tblBorders/>
        <w:tblCellMar>
          <w:top w:w="113" w:type="dxa"/>
          <w:left w:w="113" w:type="dxa"/>
          <w:bottom w:w="113" w:type="dxa"/>
          <w:right w:w="113" w:type="dxa"/>
        </w:tblCellMar>
        <w:tblLook w:noVBand="1" w:val="04a0" w:noHBand="0" w:lastColumn="0" w:firstColumn="1" w:lastRow="0" w:firstRow="1"/>
      </w:tblPr>
      <w:tblGrid>
        <w:gridCol w:w="1810"/>
        <w:gridCol w:w="7827"/>
      </w:tblGrid>
      <w:tr>
        <w:trPr/>
        <w:tc>
          <w:tcPr>
            <w:tcW w:w="1810" w:type="dxa"/>
            <w:tcBorders/>
            <w:shd w:fill="auto" w:val="clear"/>
          </w:tcPr>
          <w:p>
            <w:pPr>
              <w:pStyle w:val="Inhoudtabel"/>
              <w:rPr/>
            </w:pPr>
            <w:r>
              <w:rPr/>
              <w:drawing>
                <wp:inline distT="0" distB="0" distL="0" distR="0">
                  <wp:extent cx="972820" cy="607695"/>
                  <wp:effectExtent l="0" t="0" r="0" b="0"/>
                  <wp:docPr id="20" name="Afbeelding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32" descr=""/>
                          <pic:cNvPicPr>
                            <a:picLocks noChangeAspect="1" noChangeArrowheads="1"/>
                          </pic:cNvPicPr>
                        </pic:nvPicPr>
                        <pic:blipFill>
                          <a:blip r:embed="rId43"/>
                          <a:stretch>
                            <a:fillRect/>
                          </a:stretch>
                        </pic:blipFill>
                        <pic:spPr bwMode="auto">
                          <a:xfrm>
                            <a:off x="0" y="0"/>
                            <a:ext cx="972820" cy="607695"/>
                          </a:xfrm>
                          <a:prstGeom prst="rect">
                            <a:avLst/>
                          </a:prstGeom>
                        </pic:spPr>
                      </pic:pic>
                    </a:graphicData>
                  </a:graphic>
                </wp:inline>
              </w:drawing>
            </w:r>
          </w:p>
        </w:tc>
        <w:tc>
          <w:tcPr>
            <w:tcW w:w="7827" w:type="dxa"/>
            <w:tcBorders>
              <w:bottom w:val="single" w:sz="2" w:space="0" w:color="000000"/>
              <w:insideH w:val="single" w:sz="2" w:space="0" w:color="000000"/>
            </w:tcBorders>
            <w:shd w:fill="auto" w:val="clear"/>
          </w:tcPr>
          <w:p>
            <w:pPr>
              <w:pStyle w:val="Tekstblok"/>
              <w:rPr/>
            </w:pPr>
            <w:r>
              <w:rPr>
                <w:szCs w:val="20"/>
              </w:rPr>
              <w:t xml:space="preserve">Goede analyses zijn essentieel om de kwaliteit van de toetsen en examens te waarborgen. </w:t>
            </w:r>
          </w:p>
          <w:p>
            <w:pPr>
              <w:pStyle w:val="Tekstblok"/>
              <w:rPr/>
            </w:pPr>
            <w:r>
              <w:rPr>
                <w:szCs w:val="20"/>
              </w:rPr>
              <w:t xml:space="preserve">Bij formatieve toetsen spelen de analyse van de resultaten een belangrijke rol in het kader van gepersonaliseerd leren. Het correct kunnen duiden waar de potentiële kennisgaten zitten van de leerling is een waardevol instrument voor de docent. </w:t>
            </w:r>
          </w:p>
          <w:p>
            <w:pPr>
              <w:pStyle w:val="Tekstblok"/>
              <w:rPr/>
            </w:pPr>
            <w:r>
              <w:rPr>
                <w:szCs w:val="20"/>
              </w:rPr>
              <w:t xml:space="preserve">Bij summatieve toetsen, waar ook de toetsen en examens van het CvTE onder vallen, focust analyse zich met name op het beoordelen van het gemaakte werk opdat er een correcte normering kan worden toegepast. </w:t>
            </w:r>
          </w:p>
          <w:p>
            <w:pPr>
              <w:pStyle w:val="Tekstblok"/>
              <w:rPr>
                <w:szCs w:val="20"/>
              </w:rPr>
            </w:pPr>
            <w:r>
              <w:rPr>
                <w:szCs w:val="20"/>
              </w:rPr>
              <w:t xml:space="preserve">Aangezien deze analyse veelal uitgevoerd wordt door de leverancier van het examen die in Nederland ook veelal de leverancier van het systeem is, kan worden gesteld  dat analyse veelal onlosmakelijk verbonden is met het afnamesysteem. </w:t>
            </w:r>
          </w:p>
          <w:p>
            <w:pPr>
              <w:pStyle w:val="Tekstblok"/>
              <w:rPr/>
            </w:pPr>
            <w:r>
              <w:rPr>
                <w:iCs/>
                <w:szCs w:val="20"/>
              </w:rPr>
              <w:t xml:space="preserve">Met de adoptie van digitale leermiddelen in het onderwijs, neemt ook de behoefte om meer informatie toe om goede analyses te kunnen maken. Deze informatiebehoefte reikt verder, dan enkel het antwoord dat is gegeven door een kandidaat. Ook aspecten als klikgedrag en bestede tijd spelen daarbij een belangrijke rol. </w:t>
            </w:r>
          </w:p>
          <w:p>
            <w:pPr>
              <w:pStyle w:val="Tekstblok"/>
              <w:rPr/>
            </w:pPr>
            <w:r>
              <w:rPr>
                <w:iCs/>
                <w:szCs w:val="20"/>
              </w:rPr>
              <w:t xml:space="preserve">Gelijk met de wens om meer analysegegevens te verkrijgen, groeit ook de behoefte aan standaarden om het gedrag gedurende de afname te ontsluiten. Twee relevante standaarden worden hiervoor gebruikt. De oudste is xAPI (voorheen Tin Can API genoemd) als onderdeel van de SCORM standaard. Mede door de nauwe samenhang tussen toetsdefinitie en de xAPI wordt ook xAPI wel toegepast voor analyses, een grote marktadoptie is echter nog uitgebleven. </w:t>
            </w:r>
          </w:p>
          <w:p>
            <w:pPr>
              <w:pStyle w:val="Tekstblok"/>
              <w:spacing w:lineRule="auto" w:line="264" w:before="0" w:after="140"/>
              <w:rPr/>
            </w:pPr>
            <w:r>
              <w:rPr>
                <w:iCs/>
                <w:szCs w:val="20"/>
              </w:rPr>
              <w:t>Vanuit IMS is enkele jaren geleden Caliper gelanceerd. De Caliper standaard is meer flexibel en ondersteunt meerdere facetten van het leerproces dan xAPI. Mede door de grote adoptie van QTI voor het onderwijs groeit het aantal implementaties van Caliper in de leermiddelenketen. Om integratie van beide standaarden mogelijk te maken zijn IMS wergroepen bezig om xAPI te integreren in Caliper.</w:t>
            </w:r>
          </w:p>
        </w:tc>
      </w:tr>
      <w:tr>
        <w:trPr/>
        <w:tc>
          <w:tcPr>
            <w:tcW w:w="1810" w:type="dxa"/>
            <w:tcBorders/>
            <w:shd w:fill="auto" w:val="clear"/>
          </w:tcPr>
          <w:p>
            <w:pPr>
              <w:pStyle w:val="Inhoudtabel"/>
              <w:rPr/>
            </w:pPr>
            <w:r>
              <w:rPr/>
              <w:drawing>
                <wp:inline distT="0" distB="0" distL="0" distR="0">
                  <wp:extent cx="972820" cy="607695"/>
                  <wp:effectExtent l="0" t="0" r="0" b="0"/>
                  <wp:docPr id="21" name="Afbeelding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33" descr=""/>
                          <pic:cNvPicPr>
                            <a:picLocks noChangeAspect="1" noChangeArrowheads="1"/>
                          </pic:cNvPicPr>
                        </pic:nvPicPr>
                        <pic:blipFill>
                          <a:blip r:embed="rId44"/>
                          <a:stretch>
                            <a:fillRect/>
                          </a:stretch>
                        </pic:blipFill>
                        <pic:spPr bwMode="auto">
                          <a:xfrm>
                            <a:off x="0" y="0"/>
                            <a:ext cx="972820" cy="607695"/>
                          </a:xfrm>
                          <a:prstGeom prst="rect">
                            <a:avLst/>
                          </a:prstGeom>
                        </pic:spPr>
                      </pic:pic>
                    </a:graphicData>
                  </a:graphic>
                </wp:inline>
              </w:drawing>
            </w:r>
          </w:p>
        </w:tc>
        <w:tc>
          <w:tcPr>
            <w:tcW w:w="7827" w:type="dxa"/>
            <w:tcBorders>
              <w:top w:val="single" w:sz="2" w:space="0" w:color="000000"/>
              <w:bottom w:val="single" w:sz="2" w:space="0" w:color="000000"/>
              <w:insideH w:val="single" w:sz="2" w:space="0" w:color="000000"/>
            </w:tcBorders>
            <w:shd w:fill="auto" w:val="clear"/>
          </w:tcPr>
          <w:p>
            <w:pPr>
              <w:pStyle w:val="Tekstblok"/>
              <w:spacing w:lineRule="auto" w:line="264" w:before="0" w:after="140"/>
              <w:rPr/>
            </w:pPr>
            <w:r>
              <w:rPr>
                <w:szCs w:val="20"/>
              </w:rPr>
              <w:t>De onderwijsinstellingen vereisen steeds vaker een transparante inzage in het beoordelen en normeren van de gemaakte toetsen en examens. Het toepassen van een correcte normering is hierin van cruciaal belang. Met de opmars van verdere flexibilisering neemt ook de complexiteit toe om te komen tot een betrouwbare normering over de verschillende toetsvarianten heen. Het is cruciaal dat de toetsleverancier kan beschikken over adequate en betrouwbare verrijkte informatie. Daarbij spelen ook steeds vaker aspecten als het navigatiegedrag van de kandidaat een rol bij het vaststellen of een item correct gemaakt is.</w:t>
            </w:r>
          </w:p>
        </w:tc>
      </w:tr>
      <w:tr>
        <w:trPr/>
        <w:tc>
          <w:tcPr>
            <w:tcW w:w="1810" w:type="dxa"/>
            <w:tcBorders/>
            <w:shd w:fill="auto" w:val="clear"/>
          </w:tcPr>
          <w:p>
            <w:pPr>
              <w:pStyle w:val="Inhoudtabel"/>
              <w:rPr/>
            </w:pPr>
            <w:r>
              <w:rPr/>
              <w:drawing>
                <wp:inline distT="0" distB="0" distL="0" distR="0">
                  <wp:extent cx="972820" cy="607695"/>
                  <wp:effectExtent l="0" t="0" r="0" b="0"/>
                  <wp:docPr id="22" name="Afbeelding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34" descr=""/>
                          <pic:cNvPicPr>
                            <a:picLocks noChangeAspect="1" noChangeArrowheads="1"/>
                          </pic:cNvPicPr>
                        </pic:nvPicPr>
                        <pic:blipFill>
                          <a:blip r:embed="rId45"/>
                          <a:stretch>
                            <a:fillRect/>
                          </a:stretch>
                        </pic:blipFill>
                        <pic:spPr bwMode="auto">
                          <a:xfrm>
                            <a:off x="0" y="0"/>
                            <a:ext cx="972820" cy="607695"/>
                          </a:xfrm>
                          <a:prstGeom prst="rect">
                            <a:avLst/>
                          </a:prstGeom>
                        </pic:spPr>
                      </pic:pic>
                    </a:graphicData>
                  </a:graphic>
                </wp:inline>
              </w:drawing>
            </w:r>
          </w:p>
        </w:tc>
        <w:tc>
          <w:tcPr>
            <w:tcW w:w="7827" w:type="dxa"/>
            <w:tcBorders>
              <w:top w:val="single" w:sz="2" w:space="0" w:color="000000"/>
              <w:bottom w:val="single" w:sz="2" w:space="0" w:color="000000"/>
              <w:insideH w:val="single" w:sz="2" w:space="0" w:color="000000"/>
            </w:tcBorders>
            <w:shd w:fill="auto" w:val="clear"/>
          </w:tcPr>
          <w:p>
            <w:pPr>
              <w:pStyle w:val="Tekstblok"/>
              <w:rPr/>
            </w:pPr>
            <w:r>
              <w:rPr>
                <w:szCs w:val="20"/>
              </w:rPr>
              <w:t xml:space="preserve">Vanuit de wettelijke taak van het CvTE om </w:t>
            </w:r>
            <w:r>
              <w:rPr>
                <w:i/>
                <w:szCs w:val="20"/>
              </w:rPr>
              <w:t xml:space="preserve">de </w:t>
            </w:r>
            <w:r>
              <w:rPr>
                <w:i/>
                <w:iCs/>
                <w:szCs w:val="20"/>
              </w:rPr>
              <w:t>kwaliteit en het niveau van de centrale examens en toetsen in Nederland op peil te houden</w:t>
            </w:r>
            <w:r>
              <w:rPr>
                <w:szCs w:val="20"/>
              </w:rPr>
              <w:t xml:space="preserve"> is een goed systeem van normering randvoorwaardelijk. Deze randvoorwaarden zijn ook vastgelegd in </w:t>
            </w:r>
            <w:r>
              <w:rPr>
                <w:b/>
                <w:bCs/>
                <w:szCs w:val="20"/>
              </w:rPr>
              <w:t xml:space="preserve">[BP 03] </w:t>
            </w:r>
            <w:r>
              <w:rPr>
                <w:szCs w:val="20"/>
              </w:rPr>
              <w:t xml:space="preserve">en </w:t>
            </w:r>
            <w:r>
              <w:rPr>
                <w:b/>
                <w:bCs/>
                <w:szCs w:val="20"/>
              </w:rPr>
              <w:t>[BP 04]</w:t>
            </w:r>
            <w:r>
              <w:rPr>
                <w:szCs w:val="20"/>
              </w:rPr>
              <w:t xml:space="preserve">. </w:t>
            </w:r>
          </w:p>
          <w:p>
            <w:pPr>
              <w:pStyle w:val="Tekstblok"/>
              <w:spacing w:lineRule="auto" w:line="264" w:before="0" w:after="140"/>
              <w:rPr>
                <w:szCs w:val="20"/>
              </w:rPr>
            </w:pPr>
            <w:r>
              <w:rPr>
                <w:szCs w:val="20"/>
              </w:rPr>
              <w:t xml:space="preserve">Deze randvoorwaarden staan aan de basis van een betrouwbare en snelle levering van afnamegegevens via gestandaardiseerde kanalen. Opdat de toetsleverancier tot een goede en gewogen normering kan komen. </w:t>
            </w:r>
          </w:p>
        </w:tc>
      </w:tr>
      <w:tr>
        <w:trPr/>
        <w:tc>
          <w:tcPr>
            <w:tcW w:w="1810" w:type="dxa"/>
            <w:tcBorders/>
            <w:shd w:fill="auto" w:val="clear"/>
          </w:tcPr>
          <w:p>
            <w:pPr>
              <w:pStyle w:val="Inhoudtabel"/>
              <w:rPr/>
            </w:pPr>
            <w:r>
              <w:rPr/>
              <w:drawing>
                <wp:inline distT="0" distB="0" distL="0" distR="0">
                  <wp:extent cx="972820" cy="607695"/>
                  <wp:effectExtent l="0" t="0" r="0" b="0"/>
                  <wp:docPr id="23" name="Afbeelding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35" descr=""/>
                          <pic:cNvPicPr>
                            <a:picLocks noChangeAspect="1" noChangeArrowheads="1"/>
                          </pic:cNvPicPr>
                        </pic:nvPicPr>
                        <pic:blipFill>
                          <a:blip r:embed="rId46"/>
                          <a:stretch>
                            <a:fillRect/>
                          </a:stretch>
                        </pic:blipFill>
                        <pic:spPr bwMode="auto">
                          <a:xfrm>
                            <a:off x="0" y="0"/>
                            <a:ext cx="972820" cy="607695"/>
                          </a:xfrm>
                          <a:prstGeom prst="rect">
                            <a:avLst/>
                          </a:prstGeom>
                        </pic:spPr>
                      </pic:pic>
                    </a:graphicData>
                  </a:graphic>
                </wp:inline>
              </w:drawing>
            </w:r>
          </w:p>
        </w:tc>
        <w:tc>
          <w:tcPr>
            <w:tcW w:w="7827" w:type="dxa"/>
            <w:tcBorders/>
            <w:shd w:fill="auto" w:val="clear"/>
          </w:tcPr>
          <w:p>
            <w:pPr>
              <w:pStyle w:val="Tekstblok"/>
              <w:rPr>
                <w:szCs w:val="20"/>
              </w:rPr>
            </w:pPr>
            <w:r>
              <w:rPr>
                <w:szCs w:val="20"/>
              </w:rPr>
              <w:t xml:space="preserve">Uitgangspunt bij de ontwikkeling van Facet is altijd geweest, dat het voor meerdere toetsleveranciers mogelijk moet zijn om toetsen en examens aan te leveren. Facet verzamelt de relevante gegevens, verrijkt deze waar nodig en levert deze vervolgens aan de toetsleverancier ten behoeve van analyse. De analysevoorzieningen binnen Facet zijn beperkt, een adequate en correcte uitwisseling van afnamegegevens naar de toetsleverancier voor analyse is cruciaal voor een goede normering. </w:t>
            </w:r>
          </w:p>
          <w:p>
            <w:pPr>
              <w:pStyle w:val="Tekstblok"/>
              <w:rPr>
                <w:szCs w:val="20"/>
              </w:rPr>
            </w:pPr>
            <w:r>
              <w:rPr>
                <w:szCs w:val="20"/>
              </w:rPr>
              <w:t xml:space="preserve">Buiten analysegegevens ten behoeve van normering worden ook rapportages geleverd aan OCW, Onderwijsinspectie en CBS. Een gestandaardiseerde en ook een flexibele manier van gegevenslevering is hierbij cruciaal. </w:t>
            </w:r>
          </w:p>
          <w:p>
            <w:pPr>
              <w:pStyle w:val="Tekstblok"/>
              <w:spacing w:lineRule="auto" w:line="264" w:before="0" w:after="140"/>
              <w:rPr/>
            </w:pPr>
            <w:r>
              <w:rPr>
                <w:szCs w:val="20"/>
              </w:rPr>
              <w:t>De uitwisseling van afnamegegevens verloopt momenteel via een eigen standaard (de datadump). Deze standaard is vrij log en niet flexibel. Doelstelling is om volgend jaar deze standaarden te herzien voor open standaarden op basis van QTI Results Reporting en Caliper.</w:t>
            </w:r>
          </w:p>
        </w:tc>
      </w:tr>
    </w:tbl>
    <w:p>
      <w:pPr>
        <w:pStyle w:val="Kop2"/>
        <w:numPr>
          <w:ilvl w:val="1"/>
          <w:numId w:val="22"/>
        </w:numPr>
        <w:rPr/>
      </w:pPr>
      <w:bookmarkStart w:id="42" w:name="_Toc524688274"/>
      <w:bookmarkStart w:id="43" w:name="_Toc523307510"/>
      <w:bookmarkStart w:id="44" w:name="_Toc517429732"/>
      <w:r>
        <w:rPr/>
        <w:t>Rapporteren over de afname(resultaten)</w:t>
      </w:r>
      <w:bookmarkEnd w:id="42"/>
      <w:bookmarkEnd w:id="43"/>
      <w:bookmarkEnd w:id="44"/>
    </w:p>
    <w:p>
      <w:pPr>
        <w:pStyle w:val="Tekstblok"/>
        <w:rPr>
          <w:szCs w:val="20"/>
        </w:rPr>
      </w:pPr>
      <w:r>
        <w:rPr>
          <w:szCs w:val="20"/>
        </w:rPr>
        <w:t xml:space="preserve">De resultaten worden in context gepresenteerd. Dit kan zijn in de vorm van een rapport of het beschikbaar stellen van resultaten in een bericht. </w:t>
      </w:r>
    </w:p>
    <w:tbl>
      <w:tblPr>
        <w:tblW w:w="9638" w:type="dxa"/>
        <w:jc w:val="left"/>
        <w:tblInd w:w="-113" w:type="dxa"/>
        <w:tblBorders/>
        <w:tblCellMar>
          <w:top w:w="113" w:type="dxa"/>
          <w:left w:w="113" w:type="dxa"/>
          <w:bottom w:w="113" w:type="dxa"/>
          <w:right w:w="113" w:type="dxa"/>
        </w:tblCellMar>
        <w:tblLook w:noVBand="1" w:val="04a0" w:noHBand="0" w:lastColumn="0" w:firstColumn="1" w:lastRow="0" w:firstRow="1"/>
      </w:tblPr>
      <w:tblGrid>
        <w:gridCol w:w="1810"/>
        <w:gridCol w:w="7827"/>
      </w:tblGrid>
      <w:tr>
        <w:trPr/>
        <w:tc>
          <w:tcPr>
            <w:tcW w:w="1810" w:type="dxa"/>
            <w:tcBorders/>
            <w:shd w:fill="auto" w:val="clear"/>
          </w:tcPr>
          <w:p>
            <w:pPr>
              <w:pStyle w:val="Inhoudtabel"/>
              <w:rPr/>
            </w:pPr>
            <w:r>
              <w:rPr/>
              <w:drawing>
                <wp:inline distT="0" distB="0" distL="0" distR="0">
                  <wp:extent cx="972820" cy="607695"/>
                  <wp:effectExtent l="0" t="0" r="0" b="0"/>
                  <wp:docPr id="24" name="Afbeelding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36" descr=""/>
                          <pic:cNvPicPr>
                            <a:picLocks noChangeAspect="1" noChangeArrowheads="1"/>
                          </pic:cNvPicPr>
                        </pic:nvPicPr>
                        <pic:blipFill>
                          <a:blip r:embed="rId47"/>
                          <a:stretch>
                            <a:fillRect/>
                          </a:stretch>
                        </pic:blipFill>
                        <pic:spPr bwMode="auto">
                          <a:xfrm>
                            <a:off x="0" y="0"/>
                            <a:ext cx="972820" cy="607695"/>
                          </a:xfrm>
                          <a:prstGeom prst="rect">
                            <a:avLst/>
                          </a:prstGeom>
                        </pic:spPr>
                      </pic:pic>
                    </a:graphicData>
                  </a:graphic>
                </wp:inline>
              </w:drawing>
            </w:r>
          </w:p>
        </w:tc>
        <w:tc>
          <w:tcPr>
            <w:tcW w:w="7827" w:type="dxa"/>
            <w:tcBorders>
              <w:bottom w:val="single" w:sz="2" w:space="0" w:color="000000"/>
              <w:insideH w:val="single" w:sz="2" w:space="0" w:color="000000"/>
            </w:tcBorders>
            <w:shd w:fill="auto" w:val="clear"/>
          </w:tcPr>
          <w:p>
            <w:pPr>
              <w:pStyle w:val="Tekstblok"/>
              <w:rPr>
                <w:szCs w:val="20"/>
              </w:rPr>
            </w:pPr>
            <w:r>
              <w:rPr>
                <w:szCs w:val="20"/>
              </w:rPr>
              <w:t xml:space="preserve">Scholen gebruiken veelal leerlingvolgsystemen (LVS) voor de administratie en presentatie van de resultaten van voornamelijk summatieve toetsen. De presentatie van de resultaten van formatieve toetsen wordt veelal gefaciliteerd vanuit het toets of examensysteem zelf. Dit komt door het ontbreken van een nationale standaard. </w:t>
            </w:r>
          </w:p>
          <w:p>
            <w:pPr>
              <w:pStyle w:val="Tekstblok"/>
              <w:rPr>
                <w:szCs w:val="20"/>
              </w:rPr>
            </w:pPr>
            <w:r>
              <w:rPr>
                <w:szCs w:val="20"/>
              </w:rPr>
              <w:t xml:space="preserve">Op internationaal niveau vind er langzaam een verschuiving plaats van de presentatie van de resultaten van het toetssysteem naar een LVS. </w:t>
            </w:r>
          </w:p>
          <w:p>
            <w:pPr>
              <w:pStyle w:val="Tekstblok"/>
              <w:rPr>
                <w:szCs w:val="20"/>
              </w:rPr>
            </w:pPr>
            <w:r>
              <w:rPr>
                <w:szCs w:val="20"/>
              </w:rPr>
              <w:t xml:space="preserve">Om meer integrale overzichten (over toetsen heen) beschikbaar te stellen aan een onderwijsspecialist komen er steeds meer Business Intelligence (BI) systemen op de markt. Dergelijke systemen presenteren een integraal overzicht van verschillende toetsen, hiervoor maken veelal specifieke afspraken met toetsleveranciers om de informatie correct te interpreteren. </w:t>
            </w:r>
          </w:p>
          <w:p>
            <w:pPr>
              <w:pStyle w:val="Tekstblok"/>
              <w:spacing w:lineRule="auto" w:line="264" w:before="0" w:after="140"/>
              <w:rPr/>
            </w:pPr>
            <w:r>
              <w:rPr>
                <w:szCs w:val="20"/>
              </w:rPr>
              <w:t xml:space="preserve">In Nederland zien we voorzichtig overkoepelende dashboards ontstaan om de leerresultaten van leerlingen integraal te presenteren. Maar het ontbreekt nog aan een goede standaard die die de veelal complexe gegevensstructuren kan uitwisselen. Dit vereist enerzijds een goede koppeling tussen het leermiddel en de LVS, maar ook afspraken over de samenhang van vakinhoud, taxonomie en vaardigheden. Voor de uitwisseling van de summatieve resultaten van de Centrale Eindtoets zijn leveranciers van systemen bezig met het adopteren van UWLR. Deze standaard is ontwikkeld vanuit het oogpunt om resultaten van summatieve toetsen terug te leveren, dat wil zeggen eenvoudige cijfers en geen complexe gegevens. Vanuit deze beperking is onlangs een werkgroep gestart met onderzoek naar de toekomst van UWLR en mogelijk andere standaarden.  </w:t>
            </w:r>
          </w:p>
        </w:tc>
      </w:tr>
      <w:tr>
        <w:trPr/>
        <w:tc>
          <w:tcPr>
            <w:tcW w:w="1810" w:type="dxa"/>
            <w:tcBorders/>
            <w:shd w:fill="auto" w:val="clear"/>
          </w:tcPr>
          <w:p>
            <w:pPr>
              <w:pStyle w:val="Inhoudtabel"/>
              <w:rPr/>
            </w:pPr>
            <w:r>
              <w:rPr/>
              <w:drawing>
                <wp:inline distT="0" distB="0" distL="0" distR="0">
                  <wp:extent cx="972820" cy="607695"/>
                  <wp:effectExtent l="0" t="0" r="0" b="0"/>
                  <wp:docPr id="25" name="Afbeelding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37" descr=""/>
                          <pic:cNvPicPr>
                            <a:picLocks noChangeAspect="1" noChangeArrowheads="1"/>
                          </pic:cNvPicPr>
                        </pic:nvPicPr>
                        <pic:blipFill>
                          <a:blip r:embed="rId48"/>
                          <a:stretch>
                            <a:fillRect/>
                          </a:stretch>
                        </pic:blipFill>
                        <pic:spPr bwMode="auto">
                          <a:xfrm>
                            <a:off x="0" y="0"/>
                            <a:ext cx="972820" cy="607695"/>
                          </a:xfrm>
                          <a:prstGeom prst="rect">
                            <a:avLst/>
                          </a:prstGeom>
                        </pic:spPr>
                      </pic:pic>
                    </a:graphicData>
                  </a:graphic>
                </wp:inline>
              </w:drawing>
            </w:r>
          </w:p>
        </w:tc>
        <w:tc>
          <w:tcPr>
            <w:tcW w:w="7827" w:type="dxa"/>
            <w:tcBorders>
              <w:top w:val="single" w:sz="2" w:space="0" w:color="000000"/>
              <w:bottom w:val="single" w:sz="2" w:space="0" w:color="000000"/>
              <w:insideH w:val="single" w:sz="2" w:space="0" w:color="000000"/>
            </w:tcBorders>
            <w:shd w:fill="auto" w:val="clear"/>
          </w:tcPr>
          <w:p>
            <w:pPr>
              <w:pStyle w:val="Tekstblok"/>
              <w:spacing w:lineRule="auto" w:line="264" w:before="0" w:after="140"/>
              <w:rPr/>
            </w:pPr>
            <w:r>
              <w:rPr>
                <w:szCs w:val="20"/>
              </w:rPr>
              <w:t xml:space="preserve">Met de toename van digitale leermiddelen ontstaat ook een toename van beschikbare gegevens die gebruikt kunnen worden om de voortgang van de leerlingen te volgen, en te verantwoorden naar bijvoorbeeld ouders en de onderwijsinspectie. Het handmatig invoeren en verzamelen van resultaten uit en in verschillende systemen, </w:t>
            </w:r>
            <w:hyperlink r:id="rId49">
              <w:r>
                <w:rPr>
                  <w:rStyle w:val="Internetkoppeling"/>
                  <w:szCs w:val="20"/>
                </w:rPr>
                <w:t>zorgt voor veel (onnodig) werk</w:t>
              </w:r>
            </w:hyperlink>
            <w:r>
              <w:rPr>
                <w:szCs w:val="20"/>
              </w:rPr>
              <w:t xml:space="preserve">. De wens om </w:t>
            </w:r>
            <w:hyperlink r:id="rId50">
              <w:r>
                <w:rPr>
                  <w:rStyle w:val="Internetkoppeling"/>
                  <w:szCs w:val="20"/>
                </w:rPr>
                <w:t>overkoepelend inzicht te krijgen in het leerproces</w:t>
              </w:r>
            </w:hyperlink>
            <w:r>
              <w:rPr>
                <w:szCs w:val="20"/>
              </w:rPr>
              <w:t xml:space="preserve"> is aanwezig bij docenten, mentoren, teams en leerlingen/ouders. Echter door de grote verscheidenheid van de beschikbare leermiddelen wordt het probleem steeds groter om de beschikbare informatie snel en overzichtelijk te ordenen. Buiten het ontbreken van voorzieningen om de integratie te bewerkstelligen is het ook noodzakelijk om de mate-informatie over de leerdoelen te harmoniseren. </w:t>
            </w:r>
          </w:p>
        </w:tc>
      </w:tr>
      <w:tr>
        <w:trPr/>
        <w:tc>
          <w:tcPr>
            <w:tcW w:w="1810" w:type="dxa"/>
            <w:tcBorders/>
            <w:shd w:fill="auto" w:val="clear"/>
          </w:tcPr>
          <w:p>
            <w:pPr>
              <w:pStyle w:val="Inhoudtabel"/>
              <w:rPr/>
            </w:pPr>
            <w:r>
              <w:rPr/>
              <w:drawing>
                <wp:inline distT="0" distB="0" distL="0" distR="0">
                  <wp:extent cx="972820" cy="607695"/>
                  <wp:effectExtent l="0" t="0" r="0" b="0"/>
                  <wp:docPr id="26" name="Afbeelding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38" descr=""/>
                          <pic:cNvPicPr>
                            <a:picLocks noChangeAspect="1" noChangeArrowheads="1"/>
                          </pic:cNvPicPr>
                        </pic:nvPicPr>
                        <pic:blipFill>
                          <a:blip r:embed="rId51"/>
                          <a:stretch>
                            <a:fillRect/>
                          </a:stretch>
                        </pic:blipFill>
                        <pic:spPr bwMode="auto">
                          <a:xfrm>
                            <a:off x="0" y="0"/>
                            <a:ext cx="972820" cy="607695"/>
                          </a:xfrm>
                          <a:prstGeom prst="rect">
                            <a:avLst/>
                          </a:prstGeom>
                        </pic:spPr>
                      </pic:pic>
                    </a:graphicData>
                  </a:graphic>
                </wp:inline>
              </w:drawing>
            </w:r>
          </w:p>
        </w:tc>
        <w:tc>
          <w:tcPr>
            <w:tcW w:w="7827" w:type="dxa"/>
            <w:tcBorders>
              <w:top w:val="single" w:sz="2" w:space="0" w:color="000000"/>
              <w:bottom w:val="single" w:sz="2" w:space="0" w:color="000000"/>
              <w:insideH w:val="single" w:sz="2" w:space="0" w:color="000000"/>
            </w:tcBorders>
            <w:shd w:fill="auto" w:val="clear"/>
          </w:tcPr>
          <w:p>
            <w:pPr>
              <w:pStyle w:val="Tekstblok"/>
              <w:rPr/>
            </w:pPr>
            <w:r>
              <w:rPr>
                <w:szCs w:val="20"/>
              </w:rPr>
              <w:t xml:space="preserve">Vanuit de wettelijke taak van het CvTE om </w:t>
            </w:r>
            <w:r>
              <w:rPr>
                <w:i/>
                <w:iCs/>
                <w:szCs w:val="20"/>
              </w:rPr>
              <w:t>scholen en instellingen de mogelijkheid te geven om de centrale examens en toetsen op een goede manier kunnen afnemen</w:t>
            </w:r>
            <w:r>
              <w:rPr>
                <w:szCs w:val="20"/>
              </w:rPr>
              <w:t xml:space="preserve">, is een deugdelijke wijze van uitwisselen van toets- en examenresultaten randvoorwaardelijk. Deze randvoorwaarde is vastgelegd in </w:t>
            </w:r>
            <w:r>
              <w:rPr>
                <w:b/>
                <w:bCs/>
                <w:szCs w:val="20"/>
              </w:rPr>
              <w:t xml:space="preserve">[PB 07] </w:t>
            </w:r>
            <w:r>
              <w:rPr>
                <w:szCs w:val="20"/>
              </w:rPr>
              <w:t xml:space="preserve">en </w:t>
            </w:r>
            <w:r>
              <w:rPr>
                <w:b/>
                <w:bCs/>
                <w:szCs w:val="20"/>
              </w:rPr>
              <w:t>[BP 08]</w:t>
            </w:r>
            <w:r>
              <w:rPr>
                <w:szCs w:val="20"/>
              </w:rPr>
              <w:t xml:space="preserve">. </w:t>
            </w:r>
          </w:p>
          <w:p>
            <w:pPr>
              <w:pStyle w:val="Tekstblok"/>
              <w:spacing w:lineRule="auto" w:line="264" w:before="0" w:after="140"/>
              <w:rPr/>
            </w:pPr>
            <w:r>
              <w:rPr>
                <w:szCs w:val="20"/>
              </w:rPr>
              <w:t xml:space="preserve">Het handmatig verwerken van de examen en toetsresultaten vanuit Facet, zorgt voor extra inspanning vanuit de onderwijsinstelling. Dit is ongewenst vanuit de doelstelling van het CvTE . </w:t>
            </w:r>
          </w:p>
        </w:tc>
      </w:tr>
      <w:tr>
        <w:trPr/>
        <w:tc>
          <w:tcPr>
            <w:tcW w:w="1810" w:type="dxa"/>
            <w:tcBorders/>
            <w:shd w:fill="auto" w:val="clear"/>
          </w:tcPr>
          <w:p>
            <w:pPr>
              <w:pStyle w:val="Inhoudtabel"/>
              <w:rPr/>
            </w:pPr>
            <w:r>
              <w:rPr/>
              <w:drawing>
                <wp:inline distT="0" distB="0" distL="0" distR="0">
                  <wp:extent cx="972820" cy="607695"/>
                  <wp:effectExtent l="0" t="0" r="0" b="0"/>
                  <wp:docPr id="27" name="Afbeelding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39" descr=""/>
                          <pic:cNvPicPr>
                            <a:picLocks noChangeAspect="1" noChangeArrowheads="1"/>
                          </pic:cNvPicPr>
                        </pic:nvPicPr>
                        <pic:blipFill>
                          <a:blip r:embed="rId52"/>
                          <a:stretch>
                            <a:fillRect/>
                          </a:stretch>
                        </pic:blipFill>
                        <pic:spPr bwMode="auto">
                          <a:xfrm>
                            <a:off x="0" y="0"/>
                            <a:ext cx="972820" cy="607695"/>
                          </a:xfrm>
                          <a:prstGeom prst="rect">
                            <a:avLst/>
                          </a:prstGeom>
                        </pic:spPr>
                      </pic:pic>
                    </a:graphicData>
                  </a:graphic>
                </wp:inline>
              </w:drawing>
            </w:r>
          </w:p>
        </w:tc>
        <w:tc>
          <w:tcPr>
            <w:tcW w:w="7827" w:type="dxa"/>
            <w:tcBorders/>
            <w:shd w:fill="auto" w:val="clear"/>
          </w:tcPr>
          <w:p>
            <w:pPr>
              <w:pStyle w:val="Tekstblok"/>
              <w:rPr/>
            </w:pPr>
            <w:r>
              <w:rPr/>
              <w:t>Op dit moment kent Facet diverse specifieke koppelingen voor het leveren van gegevens naar de diverse systemen. Iedere koppeling heeft zijn eigen specificaties en eisen. Dit doet afbreuk aan de genericiteit en de onderhoudbaarheid en de sectorspecifieke interfaces leiden door het gebrek aan een goede standaard tot hogere kosten.</w:t>
            </w:r>
          </w:p>
          <w:p>
            <w:pPr>
              <w:pStyle w:val="Tekstblok"/>
              <w:rPr/>
            </w:pPr>
            <w:r>
              <w:rPr/>
              <w:t>Doelstelling is om via UWLR te komen tot een open standaard die in staat is om complexe gegevens uit te wisselen.</w:t>
            </w:r>
          </w:p>
          <w:p>
            <w:pPr>
              <w:pStyle w:val="Normal"/>
              <w:rPr/>
            </w:pPr>
            <w:r>
              <w:rPr/>
              <w:t xml:space="preserve"> </w:t>
            </w:r>
          </w:p>
        </w:tc>
      </w:tr>
    </w:tbl>
    <w:p>
      <w:pPr>
        <w:pStyle w:val="Kop1"/>
        <w:numPr>
          <w:ilvl w:val="0"/>
          <w:numId w:val="3"/>
        </w:numPr>
        <w:rPr>
          <w:sz w:val="22"/>
          <w:szCs w:val="20"/>
        </w:rPr>
      </w:pPr>
      <w:r>
        <w:rPr>
          <w:sz w:val="22"/>
          <w:szCs w:val="20"/>
        </w:rPr>
      </w:r>
    </w:p>
    <w:p>
      <w:pPr>
        <w:pStyle w:val="Tekstblok"/>
        <w:rPr/>
      </w:pPr>
      <w:r>
        <w:rPr/>
      </w:r>
      <w:r>
        <w:br w:type="page"/>
      </w:r>
    </w:p>
    <w:p>
      <w:pPr>
        <w:pStyle w:val="Kop1"/>
        <w:numPr>
          <w:ilvl w:val="0"/>
          <w:numId w:val="22"/>
        </w:numPr>
        <w:rPr/>
      </w:pPr>
      <w:bookmarkStart w:id="45" w:name="_Toc524688275"/>
      <w:bookmarkStart w:id="46" w:name="_Toc517429733"/>
      <w:bookmarkStart w:id="47" w:name="_Toc523307511"/>
      <w:r>
        <w:rPr/>
        <w:t>Conclusie en aanbevelingen</w:t>
      </w:r>
      <w:bookmarkEnd w:id="45"/>
      <w:bookmarkEnd w:id="46"/>
      <w:bookmarkEnd w:id="47"/>
      <w:r>
        <w:rPr/>
        <w:t xml:space="preserve"> </w:t>
      </w:r>
    </w:p>
    <w:p>
      <w:pPr>
        <w:pStyle w:val="Normal"/>
        <w:rPr>
          <w:szCs w:val="20"/>
        </w:rPr>
      </w:pPr>
      <w:r>
        <w:rPr>
          <w:szCs w:val="20"/>
        </w:rPr>
        <w:t xml:space="preserve">Het CvTE heeft onder meer als taak het vaststellen  van de wijze waarop en de vorm waarin centrale toetsen en examens afgenomen worden (art. 2 Wet CvTE). Vanuit deze verantwoordelijkheid stelt het CvTE eisen aan de manier waarop digitale toetsen en examens worden opgesteld en afgenomen. Het CvTE hecht er bovendien aan om digitale afnames voor onderwijsinstellingen zo eenvoudig mogelijk te maken, zonder hierbij afbreuk te doen aan de kwaliteit en de beveiliging van de toetsen en examens. Dit vereist naast de breed op de markt beschikbare functionaliteit voor het afnemen van een toets, ook systeemfunctionaliteit die eisen stelt aan de beveiliging en de opmaak van de toetsen over de verschillende toetsaanbieders en devices heen. </w:t>
      </w:r>
    </w:p>
    <w:p>
      <w:pPr>
        <w:pStyle w:val="Normal"/>
        <w:rPr>
          <w:szCs w:val="20"/>
        </w:rPr>
      </w:pPr>
      <w:r>
        <w:rPr>
          <w:szCs w:val="20"/>
        </w:rPr>
      </w:r>
    </w:p>
    <w:p>
      <w:pPr>
        <w:pStyle w:val="Normal"/>
        <w:rPr>
          <w:szCs w:val="20"/>
        </w:rPr>
      </w:pPr>
      <w:r>
        <w:rPr>
          <w:szCs w:val="20"/>
        </w:rPr>
        <w:t>Op deze aspecten heeft het systeem Facet vandaag de dag een grote meerwaarde ten opzichte van de in de markt beschikbare toetssystemen; een dergelijk geheel is niet elders beschikbaar. Om recht te kunnen doen aan de wettelijke taak van het CvTE, is de ontwikkeling, het onderhoud en het gebruik van Facet noodzakelijk, tot de markt eventueel alternatieven aan kan bieden die qua functionaliteit en kwaliteit ten minste gelijkwaardig zijn aan Facet en recht doen aan de invulling van de principes die ook ten grondslag liggen aan de ontwikkeling van Facet. De werkgroep constateert dat dit zeker de komende 5 jaar nog niet het geval zal zijn. Tot die tijd is de doorontwikkeling en het beheer van Facet gebaat bij rust: zowel op het vlak van governance als financiering. Zowel het beeld over wat een computerexamensysteem moet kunnen en de stand van wat marktpartijen daarin kunnen bieden zullen veranderen door de jaren heen. Het is verstandig om een onderzoek hiernaar periodiek te herhalen. Daarbij is het ook relevant om te herijken welke rol de overheid voor zichzelf ziet weggelegd voor welke onderdelen.</w:t>
      </w:r>
    </w:p>
    <w:p>
      <w:pPr>
        <w:pStyle w:val="Normal"/>
        <w:rPr>
          <w:szCs w:val="20"/>
        </w:rPr>
      </w:pPr>
      <w:r>
        <w:rPr>
          <w:szCs w:val="20"/>
        </w:rPr>
      </w:r>
    </w:p>
    <w:p>
      <w:pPr>
        <w:pStyle w:val="Normal"/>
        <w:rPr>
          <w:szCs w:val="20"/>
        </w:rPr>
      </w:pPr>
      <w:r>
        <w:rPr>
          <w:szCs w:val="20"/>
        </w:rPr>
        <w:t>Dit betekent daarom ook niet dat de volledige omvang van Facet zoals het vandaag de dag functioneert tot in lengte van jaren gehandhaafd moet worden. Uit onze analyse van de ontwikkelingen op de markt en de wensen van onderwijsinstellingen blijkt dat de functionaliteit om een toets- of examenafname te plannen en om de verkregen resultaten na afname te presenteren op termijn niet langer door Facet geboden hoeft te worden, maar overgenomen kan worden door leerlingadministratie- en leerlingvolgsystemen die al op onderwijsinstellingen gebruikt worden. De verwachting is dat Facet op termijn zonder deze functionaliteit kan, mits er duidelijke afspraken gemaakt kunnen worden over standaarden voor de uitwisseling van deze plannings- en resultaatgegevens.</w:t>
      </w:r>
    </w:p>
    <w:p>
      <w:pPr>
        <w:pStyle w:val="Normal"/>
        <w:rPr>
          <w:szCs w:val="20"/>
        </w:rPr>
      </w:pPr>
      <w:r>
        <w:rPr>
          <w:szCs w:val="20"/>
        </w:rPr>
      </w:r>
    </w:p>
    <w:p>
      <w:pPr>
        <w:pStyle w:val="Inhoudtabel"/>
        <w:rPr/>
      </w:pPr>
      <w:r>
        <w:rPr/>
        <w:t>Deze redenering geldt voor alle sectoren, dus ook voor het PO waar sprake is van meerdere toetsleveranciers. Ook in het PO is het vertrekpunt de wettelijke taak van het CvTE: er is een centrale eindtoets is die onder verantwoordelijkheid van het CvTE valt en die moet voldoen aan de principes en kwaliteitscriteria die het CvTE hanteert. Het CvTE is verantwoordelijk voor de vorm waarin en de wijze waarop deze centrale eindtoets wordt afgenomen en gebruikt Facet om de centrale eindtoets af te nemen.</w:t>
      </w:r>
    </w:p>
    <w:p>
      <w:pPr>
        <w:pStyle w:val="Inhoudtabel"/>
        <w:rPr/>
      </w:pPr>
      <w:r>
        <w:rPr/>
      </w:r>
    </w:p>
    <w:p>
      <w:pPr>
        <w:pStyle w:val="Inhoudtabel"/>
        <w:rPr/>
      </w:pPr>
      <w:r>
        <w:rPr/>
        <w:t>De werkgroep heeft zich in lijn met de uitgangspunten beperkt tot een uitspraak over nut en noodzaak van de inzet van Facet voor de uitvoering van digitale toetsen en examens in de komende jaren. En heeft geen bredere visie op digitalisering van toetsen neergelegd. Hier liggen relaties met lopende trajecten in het kader van de curriculumvernieuwing, visievorming onder de vlag van Edu-k en binnen OCW zelf. De verwachting van de werkgroep is dat digitaal toetsen en examineren in de komende jaren eerder toe dan af zal nemen, maar de politieke besluitvorming op dit punt is onvoorspelbaar.</w:t>
      </w:r>
    </w:p>
    <w:p>
      <w:pPr>
        <w:pStyle w:val="Inhoudtabel"/>
        <w:rPr/>
      </w:pPr>
      <w:r>
        <w:rPr/>
      </w:r>
    </w:p>
    <w:p>
      <w:pPr>
        <w:pStyle w:val="Inhoudtabel"/>
        <w:rPr/>
      </w:pPr>
      <w:r>
        <w:rPr/>
        <w:t>Tot slot heeft de werkgroep geconstateerd dat er mogelijk meerwaarde ligt bij samenwerking danwel het breder inzetten van (onderdelen van) Facet voor andere overheden die ook examens afnemen. Omdat er geen actuele vraag ligt is dit nu niet verder onderzocht.</w:t>
      </w:r>
    </w:p>
    <w:p>
      <w:pPr>
        <w:pStyle w:val="Kop2"/>
        <w:numPr>
          <w:ilvl w:val="1"/>
          <w:numId w:val="22"/>
        </w:numPr>
        <w:rPr/>
      </w:pPr>
      <w:bookmarkStart w:id="48" w:name="_Toc524688276"/>
      <w:bookmarkStart w:id="49" w:name="_Toc523307512"/>
      <w:r>
        <w:rPr/>
        <w:t>Aanbevelingen</w:t>
      </w:r>
      <w:bookmarkEnd w:id="48"/>
      <w:bookmarkEnd w:id="49"/>
    </w:p>
    <w:p>
      <w:pPr>
        <w:pStyle w:val="Normal"/>
        <w:rPr/>
      </w:pPr>
      <w:r>
        <w:rPr>
          <w:szCs w:val="20"/>
        </w:rPr>
        <w:t>Met adoptie van de QTI-standaard neemt de keuzevrijheid voor onderwijsinstellingen toe. Het uiteindelijke doel is om toetsen van verschillende aanbieders platformonafhankelijk af te kunnen spelen. Dat vergroot het gebruiksgemak op scholen, voorkomt vendor lock-in en faciliteert de uitwisseling van toetsen tussen docenten en tussen scholen.</w:t>
      </w:r>
    </w:p>
    <w:p>
      <w:pPr>
        <w:pStyle w:val="Normal"/>
        <w:rPr/>
      </w:pPr>
      <w:r>
        <w:rPr>
          <w:szCs w:val="20"/>
        </w:rPr>
        <w:t>Met een brede adoptie van de QTI-standaard worden marktpartijen gestimuleerd en aangemoedigd om systemen te ontwikkelingen die deze voorziening bieden. Daardoor kan zich in de toekomst de mogelijkheid voordoen om steeds meer van de functionaliteit die Facet nu biedt door marktpartijen te laten leveren.</w:t>
      </w:r>
    </w:p>
    <w:p>
      <w:pPr>
        <w:pStyle w:val="Normal"/>
        <w:rPr>
          <w:szCs w:val="20"/>
        </w:rPr>
      </w:pPr>
      <w:r>
        <w:rPr>
          <w:szCs w:val="20"/>
        </w:rPr>
      </w:r>
    </w:p>
    <w:tbl>
      <w:tblPr>
        <w:tblW w:w="9638"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70" w:type="dxa"/>
          <w:left w:w="167" w:type="dxa"/>
          <w:bottom w:w="170" w:type="dxa"/>
          <w:right w:w="170" w:type="dxa"/>
        </w:tblCellMar>
        <w:tblLook w:noVBand="1" w:val="04a0" w:noHBand="0" w:lastColumn="0" w:firstColumn="1" w:lastRow="0" w:firstRow="1"/>
      </w:tblPr>
      <w:tblGrid>
        <w:gridCol w:w="9638"/>
      </w:tblGrid>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szCs w:val="20"/>
              </w:rPr>
              <w:t>De overheid kan deze ontwikkeling  stimuleren door:</w:t>
            </w:r>
          </w:p>
          <w:p>
            <w:pPr>
              <w:pStyle w:val="Normal"/>
              <w:numPr>
                <w:ilvl w:val="0"/>
                <w:numId w:val="20"/>
              </w:numPr>
              <w:rPr/>
            </w:pPr>
            <w:r>
              <w:rPr>
                <w:szCs w:val="20"/>
              </w:rPr>
              <w:t>het gebruik van de QTI 3.0 standaard onder het ‘pas toe of leg uit’-regime te brengen, nadat het Facet-specifieke DEP-profiel is afgebouwd;</w:t>
            </w:r>
          </w:p>
          <w:p>
            <w:pPr>
              <w:pStyle w:val="Normal"/>
              <w:numPr>
                <w:ilvl w:val="0"/>
                <w:numId w:val="20"/>
              </w:numPr>
              <w:rPr/>
            </w:pPr>
            <w:r>
              <w:rPr>
                <w:szCs w:val="20"/>
              </w:rPr>
              <w:t>de standaard QTI waarop Facet gebouwd is en die noodzakelijk is voor de kwaliteitsgarantie van de opmaak en verwerking van de toets actief te promoten. Dit kan geschieden door de examens en toetsen die in het kader van de wettelijke taak geopenbaard moeten worden, beschikbaar te stellen in QTI formaat;</w:t>
            </w:r>
          </w:p>
          <w:p>
            <w:pPr>
              <w:pStyle w:val="Normal"/>
              <w:numPr>
                <w:ilvl w:val="0"/>
                <w:numId w:val="20"/>
              </w:numPr>
              <w:rPr>
                <w:szCs w:val="20"/>
              </w:rPr>
            </w:pPr>
            <w:r>
              <w:rPr>
                <w:szCs w:val="20"/>
              </w:rPr>
              <w:t>onderdelen van Facet die een bijdrage leveren aan de correcte presentatie en verwerking van QTI beschikbaar te stellen aan de markt in de vorm van Open Source. Dit zijn geen kant en klare producten, maar softwarebibliotheken waarmee een toetsleverancier een eigen afnamespeler kan maken. Dit draagt bij aan de verdere adoptie van QTI;</w:t>
            </w:r>
          </w:p>
          <w:p>
            <w:pPr>
              <w:pStyle w:val="Normal"/>
              <w:numPr>
                <w:ilvl w:val="0"/>
                <w:numId w:val="20"/>
              </w:numPr>
              <w:rPr>
                <w:szCs w:val="20"/>
              </w:rPr>
            </w:pPr>
            <w:r>
              <w:rPr>
                <w:szCs w:val="20"/>
              </w:rPr>
              <w:t>de beveiligingsmaatregelen die vanuit Facet zijn genomen, waaronder een veilige toetsclient, beschikbaar te stellen aan de markt.</w:t>
            </w:r>
          </w:p>
        </w:tc>
      </w:tr>
    </w:tbl>
    <w:p>
      <w:pPr>
        <w:pStyle w:val="Normal"/>
        <w:rPr>
          <w:szCs w:val="20"/>
        </w:rPr>
      </w:pPr>
      <w:r>
        <w:rPr>
          <w:szCs w:val="20"/>
        </w:rPr>
      </w:r>
    </w:p>
    <w:p>
      <w:pPr>
        <w:pStyle w:val="Normal"/>
        <w:rPr/>
      </w:pPr>
      <w:r>
        <w:rPr>
          <w:szCs w:val="20"/>
        </w:rPr>
        <w:t xml:space="preserve">Door het verbeteren en invoeren van uitwisselingsstandaarden ten behoeve van het plannen en rapporteren kunnen toetssystemen naadloos geïntegreerd worden in de bestaande leerlingadministratie- en leerlingvolgsystemen binnen onderwijsinstellingen. Met deze standaarden vervalt op den duur de noodzaak om de planningsfunctionaliteit en rapportagefunctionaliteit op te nemen in een toetssysteem, waaronder Facet. </w:t>
      </w:r>
    </w:p>
    <w:p>
      <w:pPr>
        <w:pStyle w:val="Normal"/>
        <w:rPr>
          <w:szCs w:val="20"/>
        </w:rPr>
      </w:pPr>
      <w:r>
        <w:rPr>
          <w:szCs w:val="20"/>
        </w:rPr>
      </w:r>
    </w:p>
    <w:tbl>
      <w:tblPr>
        <w:tblW w:w="9638"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70" w:type="dxa"/>
          <w:left w:w="167" w:type="dxa"/>
          <w:bottom w:w="170" w:type="dxa"/>
          <w:right w:w="170" w:type="dxa"/>
        </w:tblCellMar>
        <w:tblLook w:noVBand="1" w:val="04a0" w:noHBand="0" w:lastColumn="0" w:firstColumn="1" w:lastRow="0" w:firstRow="1"/>
      </w:tblPr>
      <w:tblGrid>
        <w:gridCol w:w="9638"/>
      </w:tblGrid>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szCs w:val="20"/>
              </w:rPr>
              <w:t>De overheid kan deze ontwikkeling stimuleren door:</w:t>
            </w:r>
          </w:p>
          <w:p>
            <w:pPr>
              <w:pStyle w:val="Normal"/>
              <w:numPr>
                <w:ilvl w:val="0"/>
                <w:numId w:val="20"/>
              </w:numPr>
              <w:rPr/>
            </w:pPr>
            <w:r>
              <w:rPr>
                <w:szCs w:val="20"/>
              </w:rPr>
              <w:t>in navolging van de internationale ontwikkelingen het op korte termijn adopteren van de uitwisselingsstandaard LTI ten behoeve van het initiëren van toets- en examenafnames, waardoor de integratie tussen LAS/LVS en toetssysteem vereenvoudigd wordt;</w:t>
            </w:r>
          </w:p>
          <w:p>
            <w:pPr>
              <w:pStyle w:val="Normal"/>
              <w:numPr>
                <w:ilvl w:val="0"/>
                <w:numId w:val="20"/>
              </w:numPr>
              <w:rPr/>
            </w:pPr>
            <w:r>
              <w:rPr>
                <w:szCs w:val="20"/>
              </w:rPr>
              <w:t>de huidige tekortkomingen van UWLR in kaart te brengen en op basis van de eisen en wensen te komen tot een standaard die voldoet voor de uitwisseling van plannings- en resultaatgegevens van toetsen en examens.</w:t>
            </w:r>
          </w:p>
        </w:tc>
      </w:tr>
    </w:tbl>
    <w:p>
      <w:pPr>
        <w:pStyle w:val="Normal"/>
        <w:rPr>
          <w:szCs w:val="20"/>
        </w:rPr>
      </w:pPr>
      <w:r>
        <w:rPr>
          <w:szCs w:val="20"/>
        </w:rPr>
      </w:r>
    </w:p>
    <w:p>
      <w:pPr>
        <w:pStyle w:val="Normal"/>
        <w:rPr>
          <w:szCs w:val="20"/>
        </w:rPr>
      </w:pPr>
      <w:r>
        <w:rPr>
          <w:szCs w:val="20"/>
        </w:rPr>
      </w:r>
      <w:r>
        <w:br w:type="page"/>
      </w:r>
    </w:p>
    <w:p>
      <w:pPr>
        <w:pStyle w:val="Kop1"/>
        <w:numPr>
          <w:ilvl w:val="0"/>
          <w:numId w:val="22"/>
        </w:numPr>
        <w:rPr/>
      </w:pPr>
      <w:bookmarkStart w:id="50" w:name="_Toc524688277"/>
      <w:bookmarkStart w:id="51" w:name="_Toc523307513"/>
      <w:bookmarkStart w:id="52" w:name="_Toc517429734"/>
      <w:r>
        <w:rPr/>
        <w:t>BIJLAGE. Uitgangspunten proces bredere inzet Facet</w:t>
      </w:r>
      <w:bookmarkEnd w:id="50"/>
      <w:bookmarkEnd w:id="51"/>
      <w:bookmarkEnd w:id="52"/>
    </w:p>
    <w:p>
      <w:pPr>
        <w:pStyle w:val="Normal"/>
        <w:rPr>
          <w:rFonts w:cs="Arial"/>
          <w:sz w:val="16"/>
          <w:szCs w:val="22"/>
        </w:rPr>
      </w:pPr>
      <w:r>
        <w:rPr>
          <w:rFonts w:cs="Arial"/>
          <w:sz w:val="16"/>
          <w:szCs w:val="22"/>
        </w:rPr>
        <w:t>10-10-2017</w:t>
      </w:r>
    </w:p>
    <w:p>
      <w:pPr>
        <w:pStyle w:val="Normal"/>
        <w:rPr>
          <w:rFonts w:cs="Arial"/>
          <w:b/>
          <w:b/>
          <w:sz w:val="22"/>
          <w:szCs w:val="22"/>
        </w:rPr>
      </w:pPr>
      <w:r>
        <w:rPr>
          <w:rFonts w:cs="Arial"/>
          <w:b/>
          <w:sz w:val="22"/>
          <w:szCs w:val="22"/>
        </w:rPr>
      </w:r>
    </w:p>
    <w:p>
      <w:pPr>
        <w:pStyle w:val="Normal"/>
        <w:rPr>
          <w:rFonts w:cs="Arial"/>
          <w:b/>
          <w:b/>
          <w:szCs w:val="20"/>
        </w:rPr>
      </w:pPr>
      <w:r>
        <w:rPr>
          <w:rFonts w:cs="Arial"/>
          <w:b/>
          <w:szCs w:val="20"/>
        </w:rPr>
        <w:t>Context</w:t>
      </w:r>
    </w:p>
    <w:p>
      <w:pPr>
        <w:pStyle w:val="Normal"/>
        <w:rPr/>
      </w:pPr>
      <w:r>
        <w:rPr>
          <w:rFonts w:cs="Arial"/>
          <w:szCs w:val="20"/>
        </w:rPr>
        <w:t xml:space="preserve">Blinklane heeft in februari 2017 een advies opgeleverd over een bredere inzet van Facet. Een belangrijke aanbeveling was het formuleren van een visie op digitaal toetsen. Hieraan is in de afgelopen maanden vervolg gegeven, waarbij een onderscheid wordt gemaakt tussen enerzijds visie op de plaats, rol, frequentie van digitaal toetsen binnen het onderwijs en anderzijds visie op het </w:t>
      </w:r>
      <w:r>
        <w:rPr>
          <w:rFonts w:cs="Arial"/>
          <w:i/>
          <w:szCs w:val="20"/>
        </w:rPr>
        <w:t>organiseren van de uitvoering</w:t>
      </w:r>
      <w:r>
        <w:rPr>
          <w:rFonts w:cs="Arial"/>
          <w:szCs w:val="20"/>
        </w:rPr>
        <w:t xml:space="preserve"> van digitale toetsen. Deze notitie gaat over het laatste en schetst een visie op hoofdlijnen, gebaseerd op een aantal uitgangspunten en doet een voorstel voor vervolgstappen.</w:t>
      </w:r>
    </w:p>
    <w:p>
      <w:pPr>
        <w:pStyle w:val="Normal"/>
        <w:rPr>
          <w:rFonts w:cs="Arial"/>
          <w:szCs w:val="20"/>
        </w:rPr>
      </w:pPr>
      <w:r>
        <w:rPr>
          <w:rFonts w:cs="Arial"/>
          <w:szCs w:val="20"/>
        </w:rPr>
      </w:r>
    </w:p>
    <w:p>
      <w:pPr>
        <w:pStyle w:val="Normal"/>
        <w:rPr>
          <w:rFonts w:cs="Arial"/>
          <w:b/>
          <w:b/>
          <w:szCs w:val="20"/>
        </w:rPr>
      </w:pPr>
      <w:r>
        <w:rPr>
          <w:rFonts w:cs="Arial"/>
          <w:b/>
          <w:szCs w:val="20"/>
        </w:rPr>
        <w:t>Uitgangspunten</w:t>
      </w:r>
    </w:p>
    <w:p>
      <w:pPr>
        <w:pStyle w:val="Normal"/>
        <w:rPr>
          <w:rFonts w:cs="Arial"/>
          <w:szCs w:val="20"/>
        </w:rPr>
      </w:pPr>
      <w:r>
        <w:rPr>
          <w:rFonts w:cs="Arial"/>
          <w:szCs w:val="20"/>
        </w:rPr>
        <w:t xml:space="preserve">In de afgelopen maanden is geïnvesteerd in het bij elkaar brengen van aanwezige kennis, denkbeelden en verwachtingen van het College voor Toetsen en Examens (CvTE), het kerndepartement en DUO. Dat heeft geresulteerd in een set van uitgangspunten. Deze uitgangspunten geven richting aan de invulling van een meerjarig proces waarin we verschillende activiteiten voorzien om de systematiek van digitaal toetsen in het onderwijs op een hoger niveau te tillen. </w:t>
      </w:r>
    </w:p>
    <w:p>
      <w:pPr>
        <w:pStyle w:val="Normal"/>
        <w:rPr>
          <w:rFonts w:cs="Arial"/>
          <w:szCs w:val="20"/>
        </w:rPr>
      </w:pPr>
      <w:r>
        <w:rPr>
          <w:rFonts w:cs="Arial"/>
          <w:szCs w:val="20"/>
        </w:rPr>
      </w:r>
    </w:p>
    <w:p>
      <w:pPr>
        <w:pStyle w:val="ListParagraph"/>
        <w:numPr>
          <w:ilvl w:val="0"/>
          <w:numId w:val="10"/>
        </w:numPr>
        <w:rPr/>
      </w:pPr>
      <w:r>
        <w:rPr>
          <w:rFonts w:cs="Arial"/>
          <w:i/>
          <w:sz w:val="20"/>
          <w:szCs w:val="20"/>
        </w:rPr>
        <w:t xml:space="preserve">OCW is alleen verantwoordelijk voor de digitale afname van </w:t>
      </w:r>
      <w:r>
        <w:rPr>
          <w:rFonts w:cs="Arial"/>
          <w:i/>
          <w:sz w:val="20"/>
          <w:szCs w:val="20"/>
          <w:u w:val="single"/>
        </w:rPr>
        <w:t>wettelijke</w:t>
      </w:r>
      <w:r>
        <w:rPr>
          <w:rFonts w:cs="Arial"/>
          <w:i/>
          <w:sz w:val="20"/>
          <w:szCs w:val="20"/>
        </w:rPr>
        <w:t xml:space="preserve"> toetsen</w:t>
      </w:r>
    </w:p>
    <w:p>
      <w:pPr>
        <w:pStyle w:val="Normal"/>
        <w:rPr>
          <w:rFonts w:cs="Arial"/>
          <w:szCs w:val="20"/>
        </w:rPr>
      </w:pPr>
      <w:r>
        <w:rPr>
          <w:rFonts w:cs="Arial"/>
          <w:szCs w:val="20"/>
        </w:rPr>
      </w:r>
    </w:p>
    <w:p>
      <w:pPr>
        <w:pStyle w:val="ListParagraph"/>
        <w:ind w:left="360" w:hanging="0"/>
        <w:rPr/>
      </w:pPr>
      <w:r>
        <w:rPr>
          <w:rFonts w:cs="Arial"/>
          <w:sz w:val="20"/>
          <w:szCs w:val="20"/>
        </w:rPr>
        <w:t>Het CvTE draagt namens de overheid zorg voor de kwaliteit van toetsen en examens en stelt scholen en instellingen in staat de afname van toetsen en examens goed te laten verlopen.</w:t>
      </w:r>
      <w:r>
        <w:rPr>
          <w:rStyle w:val="Voetnootanker"/>
          <w:rStyle w:val="Voetnootanker"/>
          <w:rFonts w:cs="Arial"/>
          <w:szCs w:val="20"/>
        </w:rPr>
        <w:footnoteReference w:id="6"/>
      </w:r>
      <w:r>
        <w:rPr>
          <w:rFonts w:cs="Arial"/>
          <w:sz w:val="20"/>
          <w:szCs w:val="20"/>
        </w:rPr>
        <w:t xml:space="preserve"> Voor de vlekkeloze afname van de digitale wettelijke toetsen is door de overheid het platform Facet ontwikkeld. In de markt waren op dat moment geen voorzieningen beschikbaar die voldeden aan de eisen van het CvTE . Dat was de legitimatie voor Facet als overheidssysteem bij DUO.</w:t>
      </w:r>
    </w:p>
    <w:p>
      <w:pPr>
        <w:pStyle w:val="ListParagraph"/>
        <w:numPr>
          <w:ilvl w:val="0"/>
          <w:numId w:val="11"/>
        </w:numPr>
        <w:rPr>
          <w:rFonts w:cs="Arial"/>
          <w:sz w:val="20"/>
          <w:szCs w:val="20"/>
        </w:rPr>
      </w:pPr>
      <w:r>
        <w:rPr>
          <w:rFonts w:cs="Arial"/>
          <w:sz w:val="20"/>
          <w:szCs w:val="20"/>
        </w:rPr>
        <w:t xml:space="preserve">OCW/CvTE is en blijft verantwoordelijk voor de wettelijke toetsen en examens. </w:t>
      </w:r>
    </w:p>
    <w:p>
      <w:pPr>
        <w:pStyle w:val="ListParagraph"/>
        <w:numPr>
          <w:ilvl w:val="0"/>
          <w:numId w:val="11"/>
        </w:numPr>
        <w:rPr>
          <w:rFonts w:cs="Arial"/>
          <w:sz w:val="20"/>
          <w:szCs w:val="20"/>
        </w:rPr>
      </w:pPr>
      <w:r>
        <w:rPr>
          <w:rFonts w:cs="Arial"/>
          <w:sz w:val="20"/>
          <w:szCs w:val="20"/>
        </w:rPr>
        <w:t>OCW neemt geen verantwoordelijkheid voor de digitale afname van toetsen en examens die niet wettelijk verplicht zijn. Dit om marktverstoring, risico’s en kosten te voorkomen.</w:t>
      </w:r>
    </w:p>
    <w:p>
      <w:pPr>
        <w:pStyle w:val="ListParagraph"/>
        <w:numPr>
          <w:ilvl w:val="0"/>
          <w:numId w:val="11"/>
        </w:numPr>
        <w:rPr/>
      </w:pPr>
      <w:r>
        <w:rPr>
          <w:rFonts w:cs="Arial"/>
          <w:sz w:val="20"/>
          <w:szCs w:val="20"/>
        </w:rPr>
        <w:t xml:space="preserve">De bestaande dienstverlening Facet wordt daarom niet </w:t>
      </w:r>
      <w:r>
        <w:rPr>
          <w:rFonts w:cs="Arial"/>
          <w:i/>
          <w:sz w:val="20"/>
          <w:szCs w:val="20"/>
        </w:rPr>
        <w:t>as is</w:t>
      </w:r>
      <w:r>
        <w:rPr>
          <w:rFonts w:cs="Arial"/>
          <w:sz w:val="20"/>
          <w:szCs w:val="20"/>
        </w:rPr>
        <w:t xml:space="preserve"> opengesteld voor andere toetsen dan de wettelijke.</w:t>
      </w:r>
    </w:p>
    <w:p>
      <w:pPr>
        <w:pStyle w:val="ListParagraph"/>
        <w:numPr>
          <w:ilvl w:val="0"/>
          <w:numId w:val="11"/>
        </w:numPr>
        <w:rPr/>
      </w:pPr>
      <w:r>
        <w:rPr>
          <w:rFonts w:cs="Arial"/>
          <w:sz w:val="20"/>
          <w:szCs w:val="20"/>
        </w:rPr>
        <w:t xml:space="preserve">De </w:t>
      </w:r>
      <w:r>
        <w:rPr>
          <w:rFonts w:cs="Arial"/>
          <w:i/>
          <w:sz w:val="20"/>
          <w:szCs w:val="20"/>
        </w:rPr>
        <w:t>manier waarop</w:t>
      </w:r>
      <w:r>
        <w:rPr>
          <w:rFonts w:cs="Arial"/>
          <w:sz w:val="20"/>
          <w:szCs w:val="20"/>
        </w:rPr>
        <w:t xml:space="preserve"> de vlekkeloze afname van digitale wettelijke toetsen wordt georganiseerd kan op termijn veranderen, door aanbesteding aan een andere partij of doordat marktpartijen voor (onderdelen van het huidige Facet) wel voldoen aan de eisen van het CvTE . </w:t>
      </w:r>
    </w:p>
    <w:p>
      <w:pPr>
        <w:pStyle w:val="Normal"/>
        <w:rPr>
          <w:rFonts w:cs="Arial"/>
          <w:szCs w:val="20"/>
        </w:rPr>
      </w:pPr>
      <w:r>
        <w:rPr>
          <w:rFonts w:cs="Arial"/>
          <w:szCs w:val="20"/>
        </w:rPr>
      </w:r>
    </w:p>
    <w:p>
      <w:pPr>
        <w:pStyle w:val="ListParagraph"/>
        <w:numPr>
          <w:ilvl w:val="0"/>
          <w:numId w:val="10"/>
        </w:numPr>
        <w:rPr>
          <w:rFonts w:cs="Arial"/>
          <w:i/>
          <w:i/>
          <w:sz w:val="20"/>
          <w:szCs w:val="20"/>
        </w:rPr>
      </w:pPr>
      <w:r>
        <w:rPr>
          <w:rFonts w:cs="Arial"/>
          <w:i/>
          <w:sz w:val="20"/>
          <w:szCs w:val="20"/>
        </w:rPr>
        <w:t>Markt bedient de digitale afname van niet-wettelijke toetsen</w:t>
      </w:r>
    </w:p>
    <w:p>
      <w:pPr>
        <w:pStyle w:val="Normal"/>
        <w:rPr>
          <w:rFonts w:cs="Arial"/>
          <w:szCs w:val="20"/>
        </w:rPr>
      </w:pPr>
      <w:r>
        <w:rPr>
          <w:rFonts w:cs="Arial"/>
          <w:szCs w:val="20"/>
        </w:rPr>
      </w:r>
    </w:p>
    <w:p>
      <w:pPr>
        <w:pStyle w:val="ListParagraph"/>
        <w:ind w:left="360" w:hanging="0"/>
        <w:rPr>
          <w:rFonts w:cs="Arial"/>
          <w:sz w:val="20"/>
          <w:szCs w:val="20"/>
        </w:rPr>
      </w:pPr>
      <w:r>
        <w:rPr>
          <w:rFonts w:cs="Arial"/>
          <w:sz w:val="20"/>
          <w:szCs w:val="20"/>
        </w:rPr>
        <w:t>Vraag en aanbod van digitale niet-wettelijke toetsen nemen toe. OCW acht de markt (en zal dit steeds toetsen) het best in staat om de daarvoor benodigde voorzieningen te ontwikkelen. Van belang is keuzevrijheid voor scholen in een voor aanbieders gelijk speelveld. OCW draagt daaraan bij door het bevorderen van open standaarden en beschikbaar stellen van kennis en code in open source.</w:t>
      </w:r>
    </w:p>
    <w:p>
      <w:pPr>
        <w:pStyle w:val="ListParagraph"/>
        <w:ind w:left="360" w:hanging="0"/>
        <w:rPr>
          <w:rFonts w:cs="Arial"/>
          <w:sz w:val="20"/>
          <w:szCs w:val="20"/>
        </w:rPr>
      </w:pPr>
      <w:r>
        <w:rPr>
          <w:rFonts w:cs="Arial"/>
          <w:sz w:val="20"/>
          <w:szCs w:val="20"/>
        </w:rPr>
      </w:r>
    </w:p>
    <w:p>
      <w:pPr>
        <w:pStyle w:val="ListParagraph"/>
        <w:keepNext w:val="true"/>
        <w:numPr>
          <w:ilvl w:val="0"/>
          <w:numId w:val="10"/>
        </w:numPr>
        <w:ind w:left="714" w:hanging="357"/>
        <w:rPr>
          <w:rFonts w:cs="Arial"/>
          <w:i/>
          <w:i/>
          <w:sz w:val="20"/>
          <w:szCs w:val="20"/>
        </w:rPr>
      </w:pPr>
      <w:r>
        <w:rPr>
          <w:rFonts w:cs="Arial"/>
          <w:i/>
          <w:sz w:val="20"/>
          <w:szCs w:val="20"/>
        </w:rPr>
        <w:t>Sturen op standaarden</w:t>
      </w:r>
    </w:p>
    <w:p>
      <w:pPr>
        <w:pStyle w:val="Normal"/>
        <w:keepNext w:val="true"/>
        <w:ind w:left="357" w:hanging="0"/>
        <w:rPr>
          <w:rFonts w:cs="Arial"/>
          <w:szCs w:val="20"/>
        </w:rPr>
      </w:pPr>
      <w:r>
        <w:rPr>
          <w:rFonts w:cs="Arial"/>
          <w:szCs w:val="20"/>
        </w:rPr>
      </w:r>
    </w:p>
    <w:p>
      <w:pPr>
        <w:pStyle w:val="Normal"/>
        <w:ind w:left="360" w:hanging="0"/>
        <w:rPr/>
      </w:pPr>
      <w:r>
        <w:rPr>
          <w:rFonts w:cs="Arial"/>
          <w:szCs w:val="20"/>
        </w:rPr>
        <w:t>Scholen maken gebruik van veel verschillende digitale systemen, voor verschillende toepassingen (leerlingadministratie, leerlingvolgsystemen, elektronische leeromgeving, methodewebsites, open digitaal leermateriaal, etc.). Door het in gezamenlijkheid ontwikkelen, implementeren en beheren van standaarden kunnen deze systemen gegevens met elkaar uitwisselen.</w:t>
      </w:r>
    </w:p>
    <w:p>
      <w:pPr>
        <w:pStyle w:val="Normal"/>
        <w:ind w:left="360" w:hanging="0"/>
        <w:rPr>
          <w:rFonts w:cs="Arial"/>
          <w:szCs w:val="20"/>
        </w:rPr>
      </w:pPr>
      <w:r>
        <w:rPr>
          <w:rFonts w:cs="Arial"/>
          <w:szCs w:val="20"/>
        </w:rPr>
        <w:t>OCW stuurt aan op het formuleren en toepassen van standaarden voor digitale afname zodat scholen de vrijheid hebben om toetsen / leermiddelen en administratiesystemen te kiezen die ze willen, ook als deze van verschillende leveranciers afkomstig zijn. Daarmee wordt de inhoud en kwaliteit weer leidend en niet de achterliggende techniek.</w:t>
      </w:r>
    </w:p>
    <w:p>
      <w:pPr>
        <w:pStyle w:val="Normal"/>
        <w:ind w:left="360" w:hanging="0"/>
        <w:rPr>
          <w:rFonts w:cs="Arial"/>
          <w:szCs w:val="20"/>
        </w:rPr>
      </w:pPr>
      <w:r>
        <w:rPr>
          <w:rFonts w:cs="Arial"/>
          <w:szCs w:val="20"/>
        </w:rPr>
        <w:t>Geaccepteerde en toegepaste standaarden (zoals QTI) zijn daarbij een voorwaarde, te hanteren door zowel leveranciers van toetsen (inhoud) als leveranciers van toetssystemen (techniek).</w:t>
      </w:r>
    </w:p>
    <w:p>
      <w:pPr>
        <w:pStyle w:val="Normal"/>
        <w:ind w:left="360" w:hanging="0"/>
        <w:rPr>
          <w:rFonts w:cs="Arial"/>
          <w:szCs w:val="20"/>
        </w:rPr>
      </w:pPr>
      <w:r>
        <w:rPr>
          <w:rFonts w:cs="Arial"/>
          <w:szCs w:val="20"/>
        </w:rPr>
      </w:r>
    </w:p>
    <w:p>
      <w:pPr>
        <w:pStyle w:val="ListParagraph"/>
        <w:numPr>
          <w:ilvl w:val="0"/>
          <w:numId w:val="10"/>
        </w:numPr>
        <w:rPr>
          <w:rFonts w:cs="Arial"/>
          <w:i/>
          <w:i/>
          <w:sz w:val="20"/>
          <w:szCs w:val="20"/>
        </w:rPr>
      </w:pPr>
      <w:r>
        <w:rPr>
          <w:rFonts w:cs="Arial"/>
          <w:i/>
          <w:sz w:val="20"/>
          <w:szCs w:val="20"/>
        </w:rPr>
        <w:t xml:space="preserve">Open source beschikbaar stellen </w:t>
      </w:r>
    </w:p>
    <w:p>
      <w:pPr>
        <w:pStyle w:val="Normal"/>
        <w:rPr>
          <w:rFonts w:cs="Arial"/>
          <w:szCs w:val="20"/>
        </w:rPr>
      </w:pPr>
      <w:r>
        <w:rPr>
          <w:rFonts w:cs="Arial"/>
          <w:szCs w:val="20"/>
        </w:rPr>
      </w:r>
    </w:p>
    <w:p>
      <w:pPr>
        <w:pStyle w:val="ListParagraph"/>
        <w:ind w:left="360" w:hanging="0"/>
        <w:rPr>
          <w:rFonts w:cs="Arial"/>
          <w:sz w:val="20"/>
          <w:szCs w:val="20"/>
        </w:rPr>
      </w:pPr>
      <w:r>
        <w:rPr>
          <w:rFonts w:cs="Arial"/>
          <w:sz w:val="20"/>
          <w:szCs w:val="20"/>
        </w:rPr>
        <w:t xml:space="preserve">Facet is merendeels in open source ontwikkeld met publieke middelen. Waar mogelijk en nuttig stelt OCW de software beschikbaar om productinnovatie en hogere kwaliteit van software te stimuleren. Doordat belanghebbenden en geïnteresseerden de software kunnen doorontwikkelen en testen ontstaan naar verwachting grotere betrokkenheid en kortere ontwikkelcycli. </w:t>
      </w:r>
    </w:p>
    <w:p>
      <w:pPr>
        <w:pStyle w:val="Normal"/>
        <w:rPr>
          <w:rFonts w:cs="Arial"/>
          <w:szCs w:val="20"/>
        </w:rPr>
      </w:pPr>
      <w:r>
        <w:rPr>
          <w:rFonts w:cs="Arial"/>
          <w:szCs w:val="20"/>
        </w:rPr>
      </w:r>
    </w:p>
    <w:p>
      <w:pPr>
        <w:pStyle w:val="Normal"/>
        <w:rPr>
          <w:rFonts w:cs="Arial"/>
          <w:b/>
          <w:b/>
          <w:szCs w:val="20"/>
        </w:rPr>
      </w:pPr>
      <w:r>
        <w:rPr>
          <w:rFonts w:cs="Arial"/>
          <w:b/>
          <w:szCs w:val="20"/>
        </w:rPr>
        <w:t xml:space="preserve">Hoofdlijn van de visie </w:t>
      </w:r>
    </w:p>
    <w:p>
      <w:pPr>
        <w:pStyle w:val="Normal"/>
        <w:rPr>
          <w:rFonts w:cs="Arial"/>
          <w:szCs w:val="20"/>
        </w:rPr>
      </w:pPr>
      <w:r>
        <w:rPr>
          <w:rFonts w:cs="Arial"/>
          <w:szCs w:val="20"/>
        </w:rPr>
        <w:t xml:space="preserve">De uitgangspunten vormen de basis voor een visie op hoofdlijnen. </w:t>
      </w:r>
    </w:p>
    <w:p>
      <w:pPr>
        <w:pStyle w:val="Normal"/>
        <w:rPr>
          <w:rFonts w:cs="Arial"/>
          <w:szCs w:val="20"/>
        </w:rPr>
      </w:pPr>
      <w:r>
        <w:rPr>
          <w:rFonts w:cs="Arial"/>
          <w:szCs w:val="20"/>
        </w:rPr>
      </w:r>
    </w:p>
    <w:p>
      <w:pPr>
        <w:pStyle w:val="Normal"/>
        <w:rPr>
          <w:rFonts w:cs="Arial"/>
          <w:szCs w:val="20"/>
        </w:rPr>
      </w:pPr>
      <w:r>
        <w:rPr>
          <w:rFonts w:cs="Arial"/>
          <w:szCs w:val="20"/>
        </w:rPr>
        <w:t xml:space="preserve">Kern: </w:t>
      </w:r>
    </w:p>
    <w:p>
      <w:pPr>
        <w:pStyle w:val="ListParagraph"/>
        <w:numPr>
          <w:ilvl w:val="0"/>
          <w:numId w:val="12"/>
        </w:numPr>
        <w:rPr>
          <w:rFonts w:cs="Arial"/>
          <w:sz w:val="20"/>
          <w:szCs w:val="20"/>
        </w:rPr>
      </w:pPr>
      <w:r>
        <w:rPr>
          <w:rFonts w:cs="Arial"/>
          <w:sz w:val="20"/>
          <w:szCs w:val="20"/>
        </w:rPr>
        <w:t>Een voor instellingen, leerlingen en studenten gegarandeerde afname van wettelijke toetsen op een wijze die over de jaren heen betrouwbaar, toegankelijk en onderling vergelijkbaar is en op een doelmatige wijze wordt georganiseerd.</w:t>
      </w:r>
    </w:p>
    <w:p>
      <w:pPr>
        <w:pStyle w:val="ListParagraph"/>
        <w:numPr>
          <w:ilvl w:val="0"/>
          <w:numId w:val="12"/>
        </w:numPr>
        <w:rPr>
          <w:rFonts w:cs="Arial"/>
          <w:sz w:val="20"/>
          <w:szCs w:val="20"/>
        </w:rPr>
      </w:pPr>
      <w:r>
        <w:rPr>
          <w:rFonts w:cs="Arial"/>
          <w:sz w:val="20"/>
          <w:szCs w:val="20"/>
        </w:rPr>
        <w:t>Een goed functionerende markt van toetssystemen die in de uiteenlopende eisen en wensen van scholen op het gebied van digitaal toetsen voorziet.</w:t>
      </w:r>
    </w:p>
    <w:p>
      <w:pPr>
        <w:pStyle w:val="Normal"/>
        <w:rPr>
          <w:rFonts w:cs="Arial"/>
          <w:szCs w:val="20"/>
        </w:rPr>
      </w:pPr>
      <w:r>
        <w:rPr>
          <w:rFonts w:cs="Arial"/>
          <w:szCs w:val="20"/>
        </w:rPr>
      </w:r>
    </w:p>
    <w:p>
      <w:pPr>
        <w:pStyle w:val="Normal"/>
        <w:rPr>
          <w:rFonts w:cs="Arial"/>
          <w:szCs w:val="20"/>
        </w:rPr>
      </w:pPr>
      <w:r>
        <w:rPr>
          <w:rFonts w:cs="Arial"/>
          <w:szCs w:val="20"/>
        </w:rPr>
        <w:t>Door in te zetten op standaardisatie en het (in open source) beschikbaar stellen van de functionaliteit die met publieke middelen is ontwikkeld, kan de kwaliteit van de uitvoering van digitaal toetsen in het algemeen op een hoger niveau worden getrokken. Op die manier kan een divers speelveld van toetsaanbieders en –systemen ontstaan, die onderling met elkaar kunnen praten (interoperabiliteit). De introductie van open standaarden is nodig om de inhoud van een toets los te koppelen van de uitvoering in specifieke systemen. Door bestaande functionaliteit bij de overheid (open source) beschikbaar te stellen aan marktpartijen, ontstaat dit gewenste speelveld sneller.</w:t>
      </w:r>
    </w:p>
    <w:p>
      <w:pPr>
        <w:pStyle w:val="Normal"/>
        <w:rPr>
          <w:rFonts w:cs="Arial"/>
          <w:szCs w:val="20"/>
        </w:rPr>
      </w:pPr>
      <w:r>
        <w:rPr>
          <w:rFonts w:cs="Arial"/>
          <w:szCs w:val="20"/>
        </w:rPr>
      </w:r>
    </w:p>
    <w:p>
      <w:pPr>
        <w:pStyle w:val="Normal"/>
        <w:rPr>
          <w:rFonts w:cs="Arial"/>
          <w:szCs w:val="20"/>
        </w:rPr>
      </w:pPr>
      <w:r>
        <w:rPr>
          <w:rFonts w:cs="Arial"/>
          <w:szCs w:val="20"/>
        </w:rPr>
        <w:t xml:space="preserve">Het huidige Facet voorziet in verschillende functionaliteiten die benodigd zijn voor het afnemen van toetsen. Per functionaliteit moet bekeken worden of en onder welke condities de uitvoering ervan op termijn overgenomen kan worden door private partijen. Hiervoor is een afwegingskader in ontwikkeling, dat onderscheid maakt in uitvoering door overheid, markt of instellingen zelf (eventueel collectief via bijv. Kennisnet). </w:t>
      </w:r>
    </w:p>
    <w:p>
      <w:pPr>
        <w:pStyle w:val="Normal"/>
        <w:rPr>
          <w:rFonts w:cs="Arial"/>
          <w:szCs w:val="20"/>
        </w:rPr>
      </w:pPr>
      <w:r>
        <w:rPr>
          <w:rFonts w:cs="Arial"/>
          <w:szCs w:val="20"/>
        </w:rPr>
      </w:r>
    </w:p>
    <w:p>
      <w:pPr>
        <w:pStyle w:val="Normal"/>
        <w:rPr>
          <w:rFonts w:cs="Arial"/>
          <w:b/>
          <w:b/>
          <w:szCs w:val="20"/>
        </w:rPr>
      </w:pPr>
      <w:r>
        <w:rPr>
          <w:rFonts w:cs="Arial"/>
          <w:b/>
          <w:szCs w:val="20"/>
        </w:rPr>
        <w:t>Vervolgstappen</w:t>
      </w:r>
    </w:p>
    <w:p>
      <w:pPr>
        <w:pStyle w:val="Normal"/>
        <w:rPr>
          <w:rFonts w:cs="Arial"/>
          <w:szCs w:val="20"/>
        </w:rPr>
      </w:pPr>
      <w:r>
        <w:rPr>
          <w:rFonts w:cs="Arial"/>
          <w:szCs w:val="20"/>
        </w:rPr>
        <w:t>De uitgangspunten en de visie op hoofdlijnen geven richting aan de te zetten vervolgstappen.</w:t>
      </w:r>
    </w:p>
    <w:p>
      <w:pPr>
        <w:pStyle w:val="Normal"/>
        <w:rPr>
          <w:rFonts w:cs="Arial"/>
          <w:szCs w:val="20"/>
        </w:rPr>
      </w:pPr>
      <w:r>
        <w:rPr>
          <w:rFonts w:cs="Arial"/>
          <w:szCs w:val="20"/>
        </w:rPr>
      </w:r>
    </w:p>
    <w:p>
      <w:pPr>
        <w:pStyle w:val="ListParagraph"/>
        <w:numPr>
          <w:ilvl w:val="0"/>
          <w:numId w:val="13"/>
        </w:numPr>
        <w:rPr>
          <w:rFonts w:cs="Arial"/>
          <w:sz w:val="20"/>
          <w:szCs w:val="20"/>
        </w:rPr>
      </w:pPr>
      <w:r>
        <w:rPr>
          <w:rFonts w:cs="Arial"/>
          <w:sz w:val="20"/>
          <w:szCs w:val="20"/>
        </w:rPr>
        <w:t>Deel en toets de uitgangspunten en visie met sectorraden en andere stakeholders.</w:t>
      </w:r>
    </w:p>
    <w:p>
      <w:pPr>
        <w:pStyle w:val="ListParagraph"/>
        <w:numPr>
          <w:ilvl w:val="0"/>
          <w:numId w:val="13"/>
        </w:numPr>
        <w:rPr>
          <w:rFonts w:cs="Arial"/>
          <w:sz w:val="20"/>
          <w:szCs w:val="20"/>
        </w:rPr>
      </w:pPr>
      <w:r>
        <w:rPr>
          <w:rFonts w:cs="Arial"/>
          <w:sz w:val="20"/>
          <w:szCs w:val="20"/>
        </w:rPr>
        <w:t>Stimuleer de ontwikkeling, invoering en het beheer van de benodigde standaarden. OCW pakt een rol in de regie op dit proces:</w:t>
      </w:r>
    </w:p>
    <w:p>
      <w:pPr>
        <w:pStyle w:val="Normal"/>
        <w:numPr>
          <w:ilvl w:val="1"/>
          <w:numId w:val="14"/>
        </w:numPr>
        <w:spacing w:lineRule="atLeast" w:line="240" w:before="0" w:after="0"/>
        <w:contextualSpacing/>
        <w:rPr>
          <w:rFonts w:cs="Arial"/>
          <w:szCs w:val="20"/>
        </w:rPr>
      </w:pPr>
      <w:r>
        <w:rPr>
          <w:rFonts w:cs="Arial"/>
          <w:szCs w:val="20"/>
        </w:rPr>
        <w:t xml:space="preserve">EduStandaard is in het onderwijs de publiek-private organisatie waar de expertise rondom het opstellen en beheren van standaarden belegd is. Hier is ook al het nodige voorwerk gedaan waarop voortgebouwd kan worden. Eerste stap is het ontwikkelen van het streefbeeld (welke standaarden waarvoor) en een bijbehorende roadmap om van de IST naar de SOLL te komen. Daarna zullen er concrete afspraken met private partijen gemaakt moeten worden over invoering van de standaarden. </w:t>
      </w:r>
    </w:p>
    <w:p>
      <w:pPr>
        <w:pStyle w:val="Normal"/>
        <w:spacing w:before="0" w:after="0"/>
        <w:ind w:left="1440" w:hanging="0"/>
        <w:contextualSpacing/>
        <w:rPr>
          <w:rFonts w:cs="Arial"/>
          <w:szCs w:val="20"/>
        </w:rPr>
      </w:pPr>
      <w:r>
        <w:rPr>
          <w:rFonts w:cs="Arial"/>
          <w:szCs w:val="20"/>
        </w:rPr>
      </w:r>
    </w:p>
    <w:p>
      <w:pPr>
        <w:pStyle w:val="ListParagraph"/>
        <w:numPr>
          <w:ilvl w:val="0"/>
          <w:numId w:val="13"/>
        </w:numPr>
        <w:rPr>
          <w:rFonts w:cs="Arial"/>
          <w:sz w:val="20"/>
          <w:szCs w:val="20"/>
        </w:rPr>
      </w:pPr>
      <w:r>
        <w:rPr>
          <w:rFonts w:cs="Arial"/>
          <w:sz w:val="20"/>
          <w:szCs w:val="20"/>
        </w:rPr>
        <w:t>Stel de relevante functionaliteit die met publieke middelen is ontwikkeld in open source beschikbaar aan de markt.</w:t>
      </w:r>
    </w:p>
    <w:p>
      <w:pPr>
        <w:pStyle w:val="Normal"/>
        <w:numPr>
          <w:ilvl w:val="1"/>
          <w:numId w:val="14"/>
        </w:numPr>
        <w:spacing w:lineRule="atLeast" w:line="240" w:before="0" w:after="0"/>
        <w:contextualSpacing/>
        <w:rPr>
          <w:rFonts w:cs="Arial"/>
          <w:szCs w:val="20"/>
        </w:rPr>
      </w:pPr>
      <w:r>
        <w:rPr>
          <w:rFonts w:cs="Arial"/>
          <w:szCs w:val="20"/>
        </w:rPr>
        <w:t>Er moet nader onderzocht worden welke functionaliteit met welk doel, onder welke condities, wanneer beschikbaar kan worden gesteld. Voortouw hier kan liggen bij het CvTE en DUO. Hierbij moet aandacht zijn voor het risico van marktverstoring voor wat betreft ondernemingen die al functionaliteit hebben ontwikkeld. Daarom heeft het stapsgewijs vrijgeven in open source de voorkeur.</w:t>
      </w:r>
    </w:p>
    <w:p>
      <w:pPr>
        <w:pStyle w:val="Normal"/>
        <w:spacing w:before="0" w:after="0"/>
        <w:ind w:left="1440" w:hanging="0"/>
        <w:contextualSpacing/>
        <w:rPr>
          <w:rFonts w:cs="Arial"/>
          <w:szCs w:val="20"/>
        </w:rPr>
      </w:pPr>
      <w:r>
        <w:rPr>
          <w:rFonts w:cs="Arial"/>
          <w:szCs w:val="20"/>
        </w:rPr>
      </w:r>
    </w:p>
    <w:p>
      <w:pPr>
        <w:pStyle w:val="ListParagraph"/>
        <w:numPr>
          <w:ilvl w:val="0"/>
          <w:numId w:val="13"/>
        </w:numPr>
        <w:rPr>
          <w:rFonts w:cs="Arial"/>
          <w:sz w:val="20"/>
          <w:szCs w:val="20"/>
        </w:rPr>
      </w:pPr>
      <w:r>
        <w:rPr>
          <w:rFonts w:cs="Arial"/>
          <w:sz w:val="20"/>
          <w:szCs w:val="20"/>
        </w:rPr>
        <w:t>Breng per deelfunctionaliteit van Facet in kaart of en onder welke condities de uitvoering ervan door private partijen over genomen kan worden.</w:t>
      </w:r>
    </w:p>
    <w:p>
      <w:pPr>
        <w:pStyle w:val="Normal"/>
        <w:numPr>
          <w:ilvl w:val="1"/>
          <w:numId w:val="14"/>
        </w:numPr>
        <w:spacing w:lineRule="atLeast" w:line="240" w:before="0" w:after="0"/>
        <w:contextualSpacing/>
        <w:rPr>
          <w:rFonts w:cs="Arial"/>
          <w:szCs w:val="20"/>
        </w:rPr>
      </w:pPr>
      <w:r>
        <w:rPr>
          <w:rFonts w:cs="Arial"/>
          <w:szCs w:val="20"/>
        </w:rPr>
        <w:t>Per deelfunctionaliteit (plannen, afspelen, corrigeren, inzage, oefenen) moet nader in kaart gebracht worden wat de voor- en nadelen en de risico’s zijn van het (eventueel en op termijn) naar de markt brengen van componenten;</w:t>
      </w:r>
    </w:p>
    <w:p>
      <w:pPr>
        <w:pStyle w:val="Normal"/>
        <w:spacing w:before="0" w:after="0"/>
        <w:ind w:left="1440" w:hanging="0"/>
        <w:contextualSpacing/>
        <w:rPr>
          <w:rFonts w:cs="Arial"/>
          <w:szCs w:val="20"/>
        </w:rPr>
      </w:pPr>
      <w:r>
        <w:rPr>
          <w:rFonts w:cs="Arial"/>
          <w:szCs w:val="20"/>
        </w:rPr>
      </w:r>
    </w:p>
    <w:p>
      <w:pPr>
        <w:pStyle w:val="ListParagraph"/>
        <w:numPr>
          <w:ilvl w:val="0"/>
          <w:numId w:val="13"/>
        </w:numPr>
        <w:rPr>
          <w:rFonts w:cs="Arial"/>
          <w:sz w:val="20"/>
          <w:szCs w:val="20"/>
        </w:rPr>
      </w:pPr>
      <w:r>
        <w:rPr>
          <w:rFonts w:cs="Arial"/>
          <w:sz w:val="20"/>
          <w:szCs w:val="20"/>
        </w:rPr>
        <w:t>Richt een proces in om sturing te kunnen geven op deze visie en meerjarige ontwikkeling</w:t>
      </w:r>
    </w:p>
    <w:p>
      <w:pPr>
        <w:pStyle w:val="Normal"/>
        <w:numPr>
          <w:ilvl w:val="1"/>
          <w:numId w:val="14"/>
        </w:numPr>
        <w:spacing w:lineRule="atLeast" w:line="240" w:before="0" w:after="0"/>
        <w:contextualSpacing/>
        <w:rPr>
          <w:rFonts w:cs="Arial"/>
          <w:szCs w:val="20"/>
        </w:rPr>
      </w:pPr>
      <w:r>
        <w:rPr>
          <w:rFonts w:cs="Arial"/>
          <w:szCs w:val="20"/>
        </w:rPr>
        <w:t>Hoe willen we dit proces intern organiseren: wie is opdrachtgever, projectleider(s), werkmethode, betrokkenheid CvTE, DUO, Kennisnet, e.a.?</w:t>
      </w:r>
    </w:p>
    <w:p>
      <w:pPr>
        <w:pStyle w:val="Normal"/>
        <w:numPr>
          <w:ilvl w:val="1"/>
          <w:numId w:val="14"/>
        </w:numPr>
        <w:spacing w:lineRule="atLeast" w:line="240" w:before="0" w:after="0"/>
        <w:contextualSpacing/>
        <w:rPr>
          <w:rFonts w:cs="Arial"/>
          <w:szCs w:val="20"/>
        </w:rPr>
      </w:pPr>
      <w:r>
        <w:rPr>
          <w:rFonts w:cs="Arial"/>
          <w:szCs w:val="20"/>
        </w:rPr>
        <w:t>Hoe betrekken we stakeholders en verbinden we met andere trajecten?</w:t>
      </w:r>
    </w:p>
    <w:p>
      <w:pPr>
        <w:pStyle w:val="Normal"/>
        <w:numPr>
          <w:ilvl w:val="1"/>
          <w:numId w:val="14"/>
        </w:numPr>
        <w:spacing w:lineRule="atLeast" w:line="240" w:before="0" w:after="0"/>
        <w:contextualSpacing/>
        <w:rPr>
          <w:rFonts w:cs="Arial"/>
          <w:szCs w:val="20"/>
        </w:rPr>
      </w:pPr>
      <w:r>
        <w:rPr>
          <w:rFonts w:cs="Arial"/>
          <w:szCs w:val="20"/>
        </w:rPr>
        <w:t>Hoe betrekken en communiceren we met marktpartijen</w:t>
      </w:r>
    </w:p>
    <w:p>
      <w:pPr>
        <w:pStyle w:val="Normal"/>
        <w:numPr>
          <w:ilvl w:val="1"/>
          <w:numId w:val="14"/>
        </w:numPr>
        <w:spacing w:lineRule="atLeast" w:line="240" w:before="0" w:after="0"/>
        <w:contextualSpacing/>
        <w:rPr/>
      </w:pPr>
      <w:r>
        <w:rPr>
          <w:rFonts w:cs="Arial"/>
          <w:szCs w:val="20"/>
          <w:u w:val="single"/>
        </w:rPr>
        <w:t>Randvoorwaardelijk</w:t>
      </w:r>
      <w:r>
        <w:rPr>
          <w:rFonts w:cs="Arial"/>
          <w:szCs w:val="20"/>
        </w:rPr>
        <w:t xml:space="preserve">: een heldere sturingsrelatie tussen OCW-CvTE-DUO, met name in de huidige situatie </w:t>
      </w:r>
    </w:p>
    <w:p>
      <w:pPr>
        <w:pStyle w:val="Normal"/>
        <w:rPr>
          <w:rFonts w:cs="Arial"/>
          <w:sz w:val="22"/>
          <w:szCs w:val="22"/>
        </w:rPr>
      </w:pPr>
      <w:r>
        <w:rPr>
          <w:rFonts w:cs="Arial"/>
          <w:sz w:val="22"/>
          <w:szCs w:val="22"/>
        </w:rPr>
      </w:r>
    </w:p>
    <w:p>
      <w:pPr>
        <w:pStyle w:val="Normal"/>
        <w:spacing w:lineRule="auto" w:line="276" w:before="0" w:after="200"/>
        <w:rPr>
          <w:rFonts w:cs="Arial"/>
          <w:b/>
          <w:b/>
          <w:sz w:val="22"/>
          <w:szCs w:val="22"/>
        </w:rPr>
      </w:pPr>
      <w:r>
        <w:rPr>
          <w:rFonts w:cs="Arial"/>
          <w:b/>
          <w:sz w:val="22"/>
          <w:szCs w:val="22"/>
        </w:rPr>
      </w:r>
    </w:p>
    <w:p>
      <w:pPr>
        <w:pStyle w:val="Tekstblok"/>
        <w:spacing w:lineRule="auto" w:line="264" w:before="0" w:after="140"/>
        <w:rPr/>
      </w:pPr>
      <w:r>
        <w:rPr/>
      </w:r>
    </w:p>
    <w:sectPr>
      <w:footerReference w:type="default" r:id="rId53"/>
      <w:footnotePr>
        <w:numFmt w:val="decimal"/>
      </w:footnotePr>
      <w:type w:val="nextPage"/>
      <w:pgSz w:w="11906" w:h="16838"/>
      <w:pgMar w:left="1134" w:right="1134" w:header="0" w:top="1134" w:footer="1134" w:bottom="1693" w:gutter="0"/>
      <w:pgNumType w:fmt="decimal"/>
      <w:formProt w:val="false"/>
      <w:textDirection w:val="lrTb"/>
      <w:docGrid w:type="default" w:linePitch="600" w:charSpace="8192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erdana">
    <w:charset w:val="01"/>
    <w:family w:val="roman"/>
    <w:pitch w:val="variable"/>
  </w:font>
  <w:font w:name="Verdana">
    <w:charset w:val="01"/>
    <w:family w:val="swiss"/>
    <w:pitch w:val="variable"/>
  </w:font>
  <w:font w:name="Calibri Light">
    <w:charset w:val="01"/>
    <w:family w:val="roman"/>
    <w:pitch w:val="variable"/>
  </w:font>
  <w:font w:name="OpenSymbol">
    <w:altName w:val="Arial Unicode MS"/>
    <w:charset w:val="01"/>
    <w:family w:val="roman"/>
    <w:pitch w:val="variable"/>
  </w:font>
  <w:font w:name="Symbol">
    <w:charset w:val="01"/>
    <w:family w:val="roman"/>
    <w:pitch w:val="variable"/>
  </w:font>
  <w:font w:name="Tahoma">
    <w:charset w:val="01"/>
    <w:family w:val="roman"/>
    <w:pitch w:val="variable"/>
  </w:font>
  <w:font w:name="apple-system">
    <w:altName w:val="BlinkMacSystemFont"/>
    <w:charset w:val="01"/>
    <w:family w:val="roman"/>
    <w:pitch w:val="variable"/>
  </w:font>
  <w:font w:name="Arial">
    <w:altName w:val="sans-serif"/>
    <w:charset w:val="01"/>
    <w:family w:val="roman"/>
    <w:pitch w:val="variable"/>
  </w:font>
  <w:font w:name="Liberation Sans">
    <w:altName w:val="Arial"/>
    <w:charset w:val="01"/>
    <w:family w:val="roman"/>
    <w:pitch w:val="variable"/>
  </w:font>
  <w:font w:name="Calibri">
    <w:charset w:val="01"/>
    <w:family w:val="roman"/>
    <w:pitch w:val="variable"/>
  </w:font>
  <w:font w:name="Verdana">
    <w:altName w:val="sans-serif"/>
    <w:charset w:val="01"/>
    <w:family w:val="roman"/>
    <w:pitch w:val="variable"/>
  </w:font>
  <w:font w:name="Symbol">
    <w:charset w:val="02"/>
    <w:family w:val="auto"/>
    <w:pitch w:val="default"/>
  </w:font>
  <w:font w:name="OpenSymbol">
    <w:altName w:val="Arial Unicode MS"/>
    <w:charset w:val="01"/>
    <w:family w:val="auto"/>
    <w:pitch w:val="variable"/>
  </w:font>
  <w:font w:name="Courier New">
    <w:charset w:val="01"/>
    <w:family w:val="auto"/>
    <w:pitch w:val="fixed"/>
  </w:font>
  <w:font w:name="Wingdings">
    <w:charset w:val="02"/>
    <w:family w:val="auto"/>
    <w:pitch w:val="default"/>
  </w:font>
  <w:font w:name="Verdana">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Voettekst"/>
      <w:jc w:val="center"/>
      <w:rPr/>
    </w:pPr>
    <w:r>
      <w:rPr/>
      <w:t xml:space="preserve">Pagina </w:t>
    </w:r>
    <w:r>
      <w:rPr/>
      <w:fldChar w:fldCharType="begin"/>
    </w:r>
    <w:r>
      <w:rPr/>
      <w:instrText> PAGE </w:instrText>
    </w:r>
    <w:r>
      <w:rPr/>
      <w:fldChar w:fldCharType="separate"/>
    </w:r>
    <w:r>
      <w:rPr/>
      <w:t>14</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Voetnoot"/>
        <w:rPr/>
      </w:pPr>
      <w:r>
        <w:rPr>
          <w:rStyle w:val="Voetnoottekens"/>
        </w:rPr>
        <w:footnoteRef/>
      </w:r>
      <w:r>
        <w:rPr>
          <w:i/>
          <w:iCs/>
          <w:sz w:val="16"/>
        </w:rPr>
        <w:tab/>
        <w:t>2012-04-10 - Architectuur CES – v2.0.pdf</w:t>
      </w:r>
    </w:p>
  </w:footnote>
  <w:footnote w:id="3">
    <w:p>
      <w:pPr>
        <w:pStyle w:val="Voetnoot"/>
        <w:rPr/>
      </w:pPr>
      <w:r>
        <w:rPr>
          <w:rStyle w:val="Voetnoottekens"/>
        </w:rPr>
        <w:footnoteRef/>
      </w:r>
      <w:r>
        <w:rPr>
          <w:sz w:val="16"/>
        </w:rPr>
        <w:tab/>
        <w:t>https://www.cvte.nl/over-het-cvte</w:t>
      </w:r>
    </w:p>
  </w:footnote>
  <w:footnote w:id="4">
    <w:p>
      <w:pPr>
        <w:pStyle w:val="Voetnoot"/>
        <w:rPr/>
      </w:pPr>
      <w:r>
        <w:rPr>
          <w:rStyle w:val="Voetnoottekens"/>
        </w:rPr>
        <w:footnoteRef/>
      </w:r>
      <w:r>
        <w:rPr>
          <w:sz w:val="16"/>
        </w:rPr>
        <w:tab/>
        <w:t>http://wetten.overheid.nl/BWBR0014915/2017-01-01</w:t>
      </w:r>
    </w:p>
  </w:footnote>
  <w:footnote w:id="5">
    <w:p>
      <w:pPr>
        <w:pStyle w:val="Voetnoot"/>
        <w:rPr/>
      </w:pPr>
      <w:r>
        <w:rPr>
          <w:rStyle w:val="Voetnoottekens"/>
        </w:rPr>
        <w:footnoteRef/>
      </w:r>
      <w:r>
        <w:rPr>
          <w:sz w:val="16"/>
        </w:rPr>
        <w:tab/>
        <w:t>https://www.digitoegankelijk.nl/beleid/wet-en-regelgeving/vanaf-2018-besluit-digitale-toegankelijkheid</w:t>
      </w:r>
    </w:p>
  </w:footnote>
  <w:footnote w:id="6">
    <w:p>
      <w:pPr>
        <w:pStyle w:val="Voetnoot"/>
        <w:rPr/>
      </w:pPr>
      <w:r>
        <w:rPr>
          <w:rStyle w:val="Voetnoottekens"/>
        </w:rPr>
        <w:footnoteRef/>
      </w:r>
      <w:r>
        <w:rPr>
          <w:sz w:val="16"/>
        </w:rPr>
        <w:tab/>
        <w:t>De centrale examens en toetsen waar het CvTE verantwoordelijk voor is, zijn:</w:t>
      </w:r>
    </w:p>
    <w:p>
      <w:pPr>
        <w:pStyle w:val="Voetnoot"/>
        <w:numPr>
          <w:ilvl w:val="0"/>
          <w:numId w:val="15"/>
        </w:numPr>
        <w:rPr>
          <w:sz w:val="16"/>
        </w:rPr>
      </w:pPr>
      <w:r>
        <w:rPr>
          <w:sz w:val="16"/>
        </w:rPr>
        <w:tab/>
        <w:t>de Centrale Eindtoets in het primair onderwijs;</w:t>
      </w:r>
    </w:p>
    <w:p>
      <w:pPr>
        <w:pStyle w:val="Voetnoot"/>
        <w:numPr>
          <w:ilvl w:val="0"/>
          <w:numId w:val="15"/>
        </w:numPr>
        <w:rPr>
          <w:sz w:val="16"/>
        </w:rPr>
      </w:pPr>
      <w:r>
        <w:rPr>
          <w:sz w:val="16"/>
        </w:rPr>
        <w:tab/>
        <w:t>de ontwikkeling van de diagnostische tussentijdse toets (wordt overgedragen aan de markt);</w:t>
      </w:r>
    </w:p>
    <w:p>
      <w:pPr>
        <w:pStyle w:val="Voetnoot"/>
        <w:numPr>
          <w:ilvl w:val="0"/>
          <w:numId w:val="15"/>
        </w:numPr>
        <w:rPr>
          <w:sz w:val="16"/>
        </w:rPr>
      </w:pPr>
      <w:r>
        <w:rPr>
          <w:sz w:val="16"/>
        </w:rPr>
        <w:tab/>
        <w:t>de centrale examens en de rekentoets in het voortgezet onderwijs;</w:t>
      </w:r>
    </w:p>
    <w:p>
      <w:pPr>
        <w:pStyle w:val="Voetnoot"/>
        <w:numPr>
          <w:ilvl w:val="0"/>
          <w:numId w:val="15"/>
        </w:numPr>
        <w:rPr>
          <w:sz w:val="16"/>
        </w:rPr>
      </w:pPr>
      <w:r>
        <w:rPr>
          <w:sz w:val="16"/>
        </w:rPr>
        <w:tab/>
        <w:t>de staatsexamens in het voortgezet onderwijs;</w:t>
      </w:r>
    </w:p>
    <w:p>
      <w:pPr>
        <w:pStyle w:val="Voetnoot"/>
        <w:numPr>
          <w:ilvl w:val="0"/>
          <w:numId w:val="15"/>
        </w:numPr>
        <w:rPr>
          <w:sz w:val="16"/>
        </w:rPr>
      </w:pPr>
      <w:r>
        <w:rPr>
          <w:sz w:val="16"/>
        </w:rPr>
        <w:tab/>
        <w:t>de centrale examens rekenen en taal in het mbo;</w:t>
      </w:r>
    </w:p>
    <w:p>
      <w:pPr>
        <w:pStyle w:val="Voetnoot"/>
        <w:numPr>
          <w:ilvl w:val="0"/>
          <w:numId w:val="15"/>
        </w:numPr>
        <w:rPr/>
      </w:pPr>
      <w:r>
        <w:rPr>
          <w:sz w:val="16"/>
        </w:rPr>
        <w:tab/>
        <w:t>de staatsexamens Nederlands als tweede taal.</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Kop1"/>
      <w:numFmt w:val="decimal"/>
      <w:lvlText w:val="%1"/>
      <w:lvlJc w:val="left"/>
      <w:pPr>
        <w:ind w:left="432" w:hanging="432"/>
      </w:pPr>
    </w:lvl>
    <w:lvl w:ilvl="1">
      <w:start w:val="1"/>
      <w:pStyle w:val="Kop2"/>
      <w:numFmt w:val="decimal"/>
      <w:lvlText w:val="%1.%2"/>
      <w:lvlJc w:val="left"/>
      <w:pPr>
        <w:ind w:left="576" w:hanging="576"/>
      </w:pPr>
    </w:lvl>
    <w:lvl w:ilvl="2">
      <w:start w:val="1"/>
      <w:pStyle w:val="Kop3"/>
      <w:numFmt w:val="decimal"/>
      <w:lvlText w:val="%1.%2.%3"/>
      <w:lvlJc w:val="left"/>
      <w:pPr>
        <w:ind w:left="720" w:hanging="720"/>
      </w:pPr>
    </w:lvl>
    <w:lvl w:ilvl="3">
      <w:start w:val="1"/>
      <w:pStyle w:val="Kop4"/>
      <w:numFmt w:val="decimal"/>
      <w:lvlText w:val="%1.%2.%3.%4"/>
      <w:lvlJc w:val="left"/>
      <w:pPr>
        <w:ind w:left="864" w:hanging="864"/>
      </w:pPr>
    </w:lvl>
    <w:lvl w:ilvl="4">
      <w:start w:val="1"/>
      <w:pStyle w:val="Kop5"/>
      <w:numFmt w:val="decimal"/>
      <w:lvlText w:val="%1.%2.%3.%4.%5"/>
      <w:lvlJc w:val="left"/>
      <w:pPr>
        <w:ind w:left="1008" w:hanging="1008"/>
      </w:pPr>
    </w:lvl>
    <w:lvl w:ilvl="5">
      <w:start w:val="1"/>
      <w:pStyle w:val="Kop6"/>
      <w:numFmt w:val="decimal"/>
      <w:lvlText w:val="%1.%2.%3.%4.%5.%6"/>
      <w:lvlJc w:val="left"/>
      <w:pPr>
        <w:ind w:left="1152" w:hanging="1152"/>
      </w:pPr>
    </w:lvl>
    <w:lvl w:ilvl="6">
      <w:start w:val="1"/>
      <w:pStyle w:val="Kop7"/>
      <w:numFmt w:val="decimal"/>
      <w:lvlText w:val="%1.%2.%3.%4.%5.%6.%7"/>
      <w:lvlJc w:val="left"/>
      <w:pPr>
        <w:ind w:left="1296" w:hanging="1296"/>
      </w:pPr>
    </w:lvl>
    <w:lvl w:ilvl="7">
      <w:start w:val="1"/>
      <w:pStyle w:val="Kop8"/>
      <w:numFmt w:val="decimal"/>
      <w:lvlText w:val="%1.%2.%3.%4.%5.%6.%7.%8"/>
      <w:lvlJc w:val="left"/>
      <w:pPr>
        <w:ind w:left="1440" w:hanging="1440"/>
      </w:pPr>
    </w:lvl>
    <w:lvl w:ilvl="8">
      <w:start w:val="1"/>
      <w:pStyle w:val="Kop9"/>
      <w:numFmt w:val="decimal"/>
      <w:lvlText w:val="%1.%2.%3.%4.%5.%6.%7.%8.%9"/>
      <w:lvlJc w:val="left"/>
      <w:pPr>
        <w:ind w:left="1584" w:hanging="1584"/>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
    <w:lvl w:ilvl="0">
      <w:start w:val="1"/>
      <w:numFmt w:val="bullet"/>
      <w:lvlText w:val=""/>
      <w:lvlJc w:val="left"/>
      <w:pPr>
        <w:tabs>
          <w:tab w:val="num" w:pos="720"/>
        </w:tabs>
        <w:ind w:left="720" w:hanging="360"/>
      </w:pPr>
      <w:rPr>
        <w:rFonts w:ascii="Symbol" w:hAnsi="Symbol" w:cs="Symbol" w:hint="default"/>
        <w:sz w:val="20"/>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720"/>
        </w:tabs>
        <w:ind w:left="720" w:hanging="360"/>
      </w:pPr>
      <w:rPr>
        <w:rFonts w:ascii="Symbol" w:hAnsi="Symbol" w:cs="Symbol" w:hint="default"/>
        <w:sz w:val="20"/>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bullet"/>
      <w:lvlText w:val=""/>
      <w:lvlJc w:val="left"/>
      <w:pPr>
        <w:tabs>
          <w:tab w:val="num" w:pos="720"/>
        </w:tabs>
        <w:ind w:left="720" w:hanging="360"/>
      </w:pPr>
      <w:rPr>
        <w:rFonts w:ascii="Symbol" w:hAnsi="Symbol" w:cs="Symbol" w:hint="default"/>
        <w:sz w:val="20"/>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bullet"/>
      <w:lvlText w:val=""/>
      <w:lvlJc w:val="left"/>
      <w:pPr>
        <w:tabs>
          <w:tab w:val="num" w:pos="720"/>
        </w:tabs>
        <w:ind w:left="720" w:hanging="360"/>
      </w:pPr>
      <w:rPr>
        <w:rFonts w:ascii="Symbol" w:hAnsi="Symbol" w:cs="Symbol" w:hint="default"/>
        <w:sz w:val="20"/>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8">
    <w:lvl w:ilvl="0">
      <w:start w:val="1"/>
      <w:numFmt w:val="bullet"/>
      <w:lvlText w:val=""/>
      <w:lvlJc w:val="left"/>
      <w:pPr>
        <w:tabs>
          <w:tab w:val="num" w:pos="720"/>
        </w:tabs>
        <w:ind w:left="720" w:hanging="360"/>
      </w:pPr>
      <w:rPr>
        <w:rFonts w:ascii="Symbol" w:hAnsi="Symbol" w:cs="Symbol" w:hint="default"/>
        <w:sz w:val="20"/>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9">
    <w:lvl w:ilvl="0">
      <w:start w:val="1"/>
      <w:numFmt w:val="bullet"/>
      <w:lvlText w:val=""/>
      <w:lvlJc w:val="left"/>
      <w:pPr>
        <w:ind w:left="720" w:hanging="360"/>
      </w:pPr>
      <w:rPr>
        <w:rFonts w:ascii="Symbol" w:hAnsi="Symbol" w:cs="Symbol" w:hint="default"/>
        <w:sz w:val="20"/>
        <w:rFonts w:cs="Open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bullet"/>
      <w:lvlText w:val="-"/>
      <w:lvlJc w:val="left"/>
      <w:pPr>
        <w:ind w:left="720" w:hanging="360"/>
      </w:pPr>
      <w:rPr>
        <w:rFonts w:ascii="Verdana" w:hAnsi="Verdana" w:cs="Verdana" w:hint="default"/>
        <w:sz w:val="20"/>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bullet"/>
      <w:lvlText w:val=""/>
      <w:lvlJc w:val="left"/>
      <w:pPr>
        <w:ind w:left="720" w:hanging="360"/>
      </w:pPr>
      <w:rPr>
        <w:rFonts w:ascii="Symbol" w:hAnsi="Symbol" w:cs="Symbol" w:hint="default"/>
        <w:rFonts w:cs="Symbol"/>
      </w:rPr>
    </w:lvl>
    <w:lvl w:ilvl="1">
      <w:start w:val="1"/>
      <w:numFmt w:val="bullet"/>
      <w:lvlText w:val="-"/>
      <w:lvlJc w:val="left"/>
      <w:pPr>
        <w:ind w:left="1440" w:hanging="360"/>
      </w:pPr>
      <w:rPr>
        <w:rFonts w:ascii="Verdana" w:hAnsi="Verdana" w:cs="Verdana" w:hint="default"/>
        <w:sz w:val="20"/>
        <w:rFonts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lvl w:ilvl="0">
      <w:start w:val="1"/>
      <w:numFmt w:val="bullet"/>
      <w:lvlText w:val="-"/>
      <w:lvlJc w:val="left"/>
      <w:pPr>
        <w:ind w:left="720" w:hanging="360"/>
      </w:pPr>
      <w:rPr>
        <w:rFonts w:ascii="Verdana" w:hAnsi="Verdana" w:cs="Verdana" w:hint="default"/>
        <w:sz w:val="16"/>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6">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7">
    <w:lvl w:ilvl="0">
      <w:start w:val="1"/>
      <w:numFmt w:val="bullet"/>
      <w:lvlText w:val=""/>
      <w:lvlJc w:val="left"/>
      <w:pPr>
        <w:tabs>
          <w:tab w:val="num" w:pos="790"/>
        </w:tabs>
        <w:ind w:left="790" w:hanging="360"/>
      </w:pPr>
      <w:rPr>
        <w:rFonts w:ascii="Symbol" w:hAnsi="Symbol" w:cs="Symbol" w:hint="default"/>
        <w:rFonts w:cs="OpenSymbol"/>
      </w:rPr>
    </w:lvl>
    <w:lvl w:ilvl="1">
      <w:start w:val="1"/>
      <w:numFmt w:val="bullet"/>
      <w:lvlText w:val="◦"/>
      <w:lvlJc w:val="left"/>
      <w:pPr>
        <w:tabs>
          <w:tab w:val="num" w:pos="1150"/>
        </w:tabs>
        <w:ind w:left="1150" w:hanging="360"/>
      </w:pPr>
      <w:rPr>
        <w:rFonts w:ascii="OpenSymbol" w:hAnsi="OpenSymbol" w:cs="OpenSymbol" w:hint="default"/>
        <w:rFonts w:cs="OpenSymbol"/>
      </w:rPr>
    </w:lvl>
    <w:lvl w:ilvl="2">
      <w:start w:val="1"/>
      <w:numFmt w:val="bullet"/>
      <w:lvlText w:val="▪"/>
      <w:lvlJc w:val="left"/>
      <w:pPr>
        <w:tabs>
          <w:tab w:val="num" w:pos="1510"/>
        </w:tabs>
        <w:ind w:left="1510" w:hanging="360"/>
      </w:pPr>
      <w:rPr>
        <w:rFonts w:ascii="OpenSymbol" w:hAnsi="OpenSymbol" w:cs="OpenSymbol" w:hint="default"/>
        <w:rFonts w:cs="OpenSymbol"/>
      </w:rPr>
    </w:lvl>
    <w:lvl w:ilvl="3">
      <w:start w:val="1"/>
      <w:numFmt w:val="bullet"/>
      <w:lvlText w:val=""/>
      <w:lvlJc w:val="left"/>
      <w:pPr>
        <w:tabs>
          <w:tab w:val="num" w:pos="1870"/>
        </w:tabs>
        <w:ind w:left="1870" w:hanging="360"/>
      </w:pPr>
      <w:rPr>
        <w:rFonts w:ascii="Symbol" w:hAnsi="Symbol" w:cs="Symbol" w:hint="default"/>
        <w:rFonts w:cs="OpenSymbol"/>
      </w:rPr>
    </w:lvl>
    <w:lvl w:ilvl="4">
      <w:start w:val="1"/>
      <w:numFmt w:val="bullet"/>
      <w:lvlText w:val="◦"/>
      <w:lvlJc w:val="left"/>
      <w:pPr>
        <w:tabs>
          <w:tab w:val="num" w:pos="2230"/>
        </w:tabs>
        <w:ind w:left="2230" w:hanging="360"/>
      </w:pPr>
      <w:rPr>
        <w:rFonts w:ascii="OpenSymbol" w:hAnsi="OpenSymbol" w:cs="OpenSymbol" w:hint="default"/>
        <w:rFonts w:cs="OpenSymbol"/>
      </w:rPr>
    </w:lvl>
    <w:lvl w:ilvl="5">
      <w:start w:val="1"/>
      <w:numFmt w:val="bullet"/>
      <w:lvlText w:val="▪"/>
      <w:lvlJc w:val="left"/>
      <w:pPr>
        <w:tabs>
          <w:tab w:val="num" w:pos="2590"/>
        </w:tabs>
        <w:ind w:left="2590" w:hanging="360"/>
      </w:pPr>
      <w:rPr>
        <w:rFonts w:ascii="OpenSymbol" w:hAnsi="OpenSymbol" w:cs="OpenSymbol" w:hint="default"/>
        <w:rFonts w:cs="OpenSymbol"/>
      </w:rPr>
    </w:lvl>
    <w:lvl w:ilvl="6">
      <w:start w:val="1"/>
      <w:numFmt w:val="bullet"/>
      <w:lvlText w:val=""/>
      <w:lvlJc w:val="left"/>
      <w:pPr>
        <w:tabs>
          <w:tab w:val="num" w:pos="2950"/>
        </w:tabs>
        <w:ind w:left="2950" w:hanging="360"/>
      </w:pPr>
      <w:rPr>
        <w:rFonts w:ascii="Symbol" w:hAnsi="Symbol" w:cs="Symbol" w:hint="default"/>
        <w:rFonts w:cs="OpenSymbol"/>
      </w:rPr>
    </w:lvl>
    <w:lvl w:ilvl="7">
      <w:start w:val="1"/>
      <w:numFmt w:val="bullet"/>
      <w:lvlText w:val="◦"/>
      <w:lvlJc w:val="left"/>
      <w:pPr>
        <w:tabs>
          <w:tab w:val="num" w:pos="3310"/>
        </w:tabs>
        <w:ind w:left="3310" w:hanging="360"/>
      </w:pPr>
      <w:rPr>
        <w:rFonts w:ascii="OpenSymbol" w:hAnsi="OpenSymbol" w:cs="OpenSymbol" w:hint="default"/>
        <w:rFonts w:cs="OpenSymbol"/>
      </w:rPr>
    </w:lvl>
    <w:lvl w:ilvl="8">
      <w:start w:val="1"/>
      <w:numFmt w:val="bullet"/>
      <w:lvlText w:val="▪"/>
      <w:lvlJc w:val="left"/>
      <w:pPr>
        <w:tabs>
          <w:tab w:val="num" w:pos="3670"/>
        </w:tabs>
        <w:ind w:left="3670" w:hanging="360"/>
      </w:pPr>
      <w:rPr>
        <w:rFonts w:ascii="OpenSymbol" w:hAnsi="OpenSymbol" w:cs="OpenSymbol" w:hint="default"/>
        <w:rFonts w:cs="OpenSymbol"/>
      </w:rPr>
    </w:lvl>
  </w:abstractNum>
  <w:abstractNum w:abstractNumId="18">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0">
    <w:lvl w:ilvl="0">
      <w:start w:val="1"/>
      <w:numFmt w:val="decimal"/>
      <w:lvlText w:val="%1."/>
      <w:lvlJc w:val="left"/>
      <w:pPr>
        <w:tabs>
          <w:tab w:val="num" w:pos="720"/>
        </w:tabs>
        <w:ind w:left="720" w:hanging="360"/>
      </w:pPr>
      <w:rPr>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1">
    <w:lvl w:ilvl="0">
      <w:start w:val="1"/>
      <w:numFmt w:val="bullet"/>
      <w:lvlText w:val="-"/>
      <w:lvlJc w:val="left"/>
      <w:pPr>
        <w:ind w:left="720" w:hanging="360"/>
      </w:pPr>
      <w:rPr>
        <w:rFonts w:ascii="Verdana" w:hAnsi="Verdana" w:cs="Verdana" w:hint="default"/>
        <w:rFonts w:cs="Lohit Devanaga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lvl w:ilvl="0">
      <w:start w:val="1"/>
      <w:numFmt w:val="bullet"/>
      <w:lvlText w:val="-"/>
      <w:lvlJc w:val="left"/>
      <w:pPr>
        <w:ind w:left="720" w:hanging="360"/>
      </w:pPr>
      <w:rPr>
        <w:rFonts w:ascii="Verdana" w:hAnsi="Verdana" w:cs="Verdana" w:hint="default"/>
        <w:sz w:val="20"/>
        <w:rFonts w:cs="Lohit Devanaga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4">
    <w:lvl w:ilvl="0">
      <w:start w:val="1"/>
      <w:numFmt w:val="bullet"/>
      <w:lvlText w:val="-"/>
      <w:lvlJc w:val="left"/>
      <w:pPr>
        <w:ind w:left="720" w:hanging="360"/>
      </w:pPr>
      <w:rPr>
        <w:rFonts w:ascii="Verdana" w:hAnsi="Verdana" w:cs="Verdana" w:hint="default"/>
        <w:rFonts w:cs="Lohit Devanaga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5">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w="http://schemas.openxmlformats.org/wordprocessingml/2006/main">
  <w:zoom w:percent="160"/>
  <w:defaultTabStop w:val="709"/>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Tahoma" w:cs="Lohit Devanagari"/>
        <w:kern w:val="2"/>
        <w:szCs w:val="24"/>
        <w:lang w:val="nl-NL"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jc w:val="left"/>
    </w:pPr>
    <w:rPr>
      <w:rFonts w:ascii="Verdana" w:hAnsi="Verdana" w:eastAsia="Tahoma" w:cs="Lohit Devanagari"/>
      <w:color w:val="auto"/>
      <w:kern w:val="2"/>
      <w:sz w:val="20"/>
      <w:szCs w:val="24"/>
      <w:lang w:val="nl-NL" w:eastAsia="zh-CN" w:bidi="hi-IN"/>
    </w:rPr>
  </w:style>
  <w:style w:type="paragraph" w:styleId="Kop1">
    <w:name w:val="Heading 1"/>
    <w:basedOn w:val="Kop"/>
    <w:qFormat/>
    <w:pPr>
      <w:numPr>
        <w:ilvl w:val="0"/>
        <w:numId w:val="1"/>
      </w:numPr>
      <w:outlineLvl w:val="0"/>
    </w:pPr>
    <w:rPr>
      <w:rFonts w:ascii="Verdana" w:hAnsi="Verdana"/>
      <w:b/>
      <w:bCs/>
      <w:sz w:val="24"/>
      <w:szCs w:val="36"/>
    </w:rPr>
  </w:style>
  <w:style w:type="paragraph" w:styleId="Kop2">
    <w:name w:val="Heading 2"/>
    <w:basedOn w:val="Kop"/>
    <w:qFormat/>
    <w:pPr>
      <w:numPr>
        <w:ilvl w:val="1"/>
        <w:numId w:val="1"/>
      </w:numPr>
      <w:spacing w:before="200" w:after="120"/>
      <w:outlineLvl w:val="1"/>
    </w:pPr>
    <w:rPr>
      <w:rFonts w:ascii="Verdana" w:hAnsi="Verdana"/>
      <w:b/>
      <w:bCs/>
      <w:sz w:val="22"/>
      <w:szCs w:val="32"/>
    </w:rPr>
  </w:style>
  <w:style w:type="paragraph" w:styleId="Kop3">
    <w:name w:val="Heading 3"/>
    <w:basedOn w:val="Kop"/>
    <w:qFormat/>
    <w:pPr>
      <w:numPr>
        <w:ilvl w:val="2"/>
        <w:numId w:val="1"/>
      </w:numPr>
      <w:spacing w:before="140" w:after="120"/>
      <w:outlineLvl w:val="2"/>
    </w:pPr>
    <w:rPr>
      <w:b/>
      <w:bCs/>
    </w:rPr>
  </w:style>
  <w:style w:type="paragraph" w:styleId="Kop4">
    <w:name w:val="Heading 4"/>
    <w:basedOn w:val="Normal"/>
    <w:next w:val="Normal"/>
    <w:link w:val="Kop4Char"/>
    <w:uiPriority w:val="9"/>
    <w:semiHidden/>
    <w:unhideWhenUsed/>
    <w:qFormat/>
    <w:rsid w:val="003d19dc"/>
    <w:pPr>
      <w:keepNext w:val="true"/>
      <w:keepLines/>
      <w:numPr>
        <w:ilvl w:val="3"/>
        <w:numId w:val="1"/>
      </w:numPr>
      <w:spacing w:before="200" w:after="0"/>
      <w:outlineLvl w:val="3"/>
    </w:pPr>
    <w:rPr>
      <w:rFonts w:ascii="Calibri Light" w:hAnsi="Calibri Light" w:eastAsia="" w:cs="Mangal" w:asciiTheme="majorHAnsi" w:eastAsiaTheme="majorEastAsia" w:hAnsiTheme="majorHAnsi"/>
      <w:b/>
      <w:bCs/>
      <w:i/>
      <w:iCs/>
      <w:color w:val="5B9BD5" w:themeColor="accent1"/>
    </w:rPr>
  </w:style>
  <w:style w:type="paragraph" w:styleId="Kop5">
    <w:name w:val="Heading 5"/>
    <w:basedOn w:val="Normal"/>
    <w:next w:val="Normal"/>
    <w:link w:val="Kop5Char"/>
    <w:uiPriority w:val="9"/>
    <w:semiHidden/>
    <w:unhideWhenUsed/>
    <w:qFormat/>
    <w:rsid w:val="003d19dc"/>
    <w:pPr>
      <w:keepNext w:val="true"/>
      <w:keepLines/>
      <w:numPr>
        <w:ilvl w:val="4"/>
        <w:numId w:val="1"/>
      </w:numPr>
      <w:spacing w:before="200" w:after="0"/>
      <w:outlineLvl w:val="4"/>
    </w:pPr>
    <w:rPr>
      <w:rFonts w:ascii="Calibri Light" w:hAnsi="Calibri Light" w:eastAsia="" w:cs="Mangal" w:asciiTheme="majorHAnsi" w:eastAsiaTheme="majorEastAsia" w:hAnsiTheme="majorHAnsi"/>
      <w:color w:val="1F4D78" w:themeColor="accent1" w:themeShade="7f"/>
    </w:rPr>
  </w:style>
  <w:style w:type="paragraph" w:styleId="Kop6">
    <w:name w:val="Heading 6"/>
    <w:basedOn w:val="Normal"/>
    <w:next w:val="Normal"/>
    <w:link w:val="Kop6Char"/>
    <w:uiPriority w:val="9"/>
    <w:semiHidden/>
    <w:unhideWhenUsed/>
    <w:qFormat/>
    <w:rsid w:val="003d19dc"/>
    <w:pPr>
      <w:keepNext w:val="true"/>
      <w:keepLines/>
      <w:numPr>
        <w:ilvl w:val="5"/>
        <w:numId w:val="1"/>
      </w:numPr>
      <w:spacing w:before="200" w:after="0"/>
      <w:outlineLvl w:val="5"/>
    </w:pPr>
    <w:rPr>
      <w:rFonts w:ascii="Calibri Light" w:hAnsi="Calibri Light" w:eastAsia="" w:cs="Mangal" w:asciiTheme="majorHAnsi" w:eastAsiaTheme="majorEastAsia" w:hAnsiTheme="majorHAnsi"/>
      <w:i/>
      <w:iCs/>
      <w:color w:val="1F4D78" w:themeColor="accent1" w:themeShade="7f"/>
    </w:rPr>
  </w:style>
  <w:style w:type="paragraph" w:styleId="Kop7">
    <w:name w:val="Heading 7"/>
    <w:basedOn w:val="Normal"/>
    <w:next w:val="Normal"/>
    <w:link w:val="Kop7Char"/>
    <w:uiPriority w:val="9"/>
    <w:semiHidden/>
    <w:unhideWhenUsed/>
    <w:qFormat/>
    <w:rsid w:val="003d19dc"/>
    <w:pPr>
      <w:keepNext w:val="true"/>
      <w:keepLines/>
      <w:numPr>
        <w:ilvl w:val="6"/>
        <w:numId w:val="1"/>
      </w:numPr>
      <w:spacing w:before="200" w:after="0"/>
      <w:outlineLvl w:val="6"/>
    </w:pPr>
    <w:rPr>
      <w:rFonts w:ascii="Calibri Light" w:hAnsi="Calibri Light" w:eastAsia="" w:cs="Mangal" w:asciiTheme="majorHAnsi" w:eastAsiaTheme="majorEastAsia" w:hAnsiTheme="majorHAnsi"/>
      <w:i/>
      <w:iCs/>
      <w:color w:val="404040" w:themeColor="text1" w:themeTint="bf"/>
    </w:rPr>
  </w:style>
  <w:style w:type="paragraph" w:styleId="Kop8">
    <w:name w:val="Heading 8"/>
    <w:basedOn w:val="Normal"/>
    <w:next w:val="Normal"/>
    <w:link w:val="Kop8Char"/>
    <w:uiPriority w:val="9"/>
    <w:semiHidden/>
    <w:unhideWhenUsed/>
    <w:qFormat/>
    <w:rsid w:val="003d19dc"/>
    <w:pPr>
      <w:keepNext w:val="true"/>
      <w:keepLines/>
      <w:numPr>
        <w:ilvl w:val="7"/>
        <w:numId w:val="1"/>
      </w:numPr>
      <w:spacing w:before="200" w:after="0"/>
      <w:outlineLvl w:val="7"/>
    </w:pPr>
    <w:rPr>
      <w:rFonts w:ascii="Calibri Light" w:hAnsi="Calibri Light" w:eastAsia="" w:cs="Mangal" w:asciiTheme="majorHAnsi" w:eastAsiaTheme="majorEastAsia" w:hAnsiTheme="majorHAnsi"/>
      <w:color w:val="404040" w:themeColor="text1" w:themeTint="bf"/>
      <w:szCs w:val="18"/>
    </w:rPr>
  </w:style>
  <w:style w:type="paragraph" w:styleId="Kop9">
    <w:name w:val="Heading 9"/>
    <w:basedOn w:val="Normal"/>
    <w:next w:val="Normal"/>
    <w:link w:val="Kop9Char"/>
    <w:uiPriority w:val="9"/>
    <w:semiHidden/>
    <w:unhideWhenUsed/>
    <w:qFormat/>
    <w:rsid w:val="003d19dc"/>
    <w:pPr>
      <w:keepNext w:val="true"/>
      <w:keepLines/>
      <w:numPr>
        <w:ilvl w:val="8"/>
        <w:numId w:val="1"/>
      </w:numPr>
      <w:spacing w:before="200" w:after="0"/>
      <w:outlineLvl w:val="8"/>
    </w:pPr>
    <w:rPr>
      <w:rFonts w:ascii="Calibri Light" w:hAnsi="Calibri Light" w:eastAsia="" w:cs="Mangal" w:asciiTheme="majorHAnsi" w:eastAsiaTheme="majorEastAsia" w:hAnsiTheme="majorHAnsi"/>
      <w:i/>
      <w:iCs/>
      <w:color w:val="404040" w:themeColor="text1" w:themeTint="bf"/>
      <w:szCs w:val="18"/>
    </w:rPr>
  </w:style>
  <w:style w:type="character" w:styleId="DefaultParagraphFont" w:default="1">
    <w:name w:val="Default Paragraph Font"/>
    <w:uiPriority w:val="1"/>
    <w:semiHidden/>
    <w:unhideWhenUsed/>
    <w:qFormat/>
    <w:rPr/>
  </w:style>
  <w:style w:type="character" w:styleId="Opsommingstekens" w:customStyle="1">
    <w:name w:val="Opsommingstekens"/>
    <w:qFormat/>
    <w:rPr>
      <w:rFonts w:ascii="OpenSymbol" w:hAnsi="OpenSymbol" w:eastAsia="OpenSymbol" w:cs="OpenSymbol"/>
    </w:rPr>
  </w:style>
  <w:style w:type="character" w:styleId="Internetkoppeling">
    <w:name w:val="Internetkoppeling"/>
    <w:basedOn w:val="DefaultParagraphFont"/>
    <w:uiPriority w:val="99"/>
    <w:unhideWhenUsed/>
    <w:rsid w:val="00427d41"/>
    <w:rPr>
      <w:color w:val="0563C1" w:themeColor="hyperlink"/>
      <w:u w:val="single"/>
    </w:rPr>
  </w:style>
  <w:style w:type="character" w:styleId="Sterkaccent" w:customStyle="1">
    <w:name w:val="Sterk accent"/>
    <w:qFormat/>
    <w:rPr>
      <w:b/>
      <w:bCs/>
    </w:rPr>
  </w:style>
  <w:style w:type="character" w:styleId="WW8Num2z0" w:customStyle="1">
    <w:name w:val="WW8Num2z0"/>
    <w:qFormat/>
    <w:rPr>
      <w:rFonts w:ascii="Symbol" w:hAnsi="Symbol" w:cs="OpenSymbol;Arial Unicode MS"/>
      <w:lang w:val="nl-NL"/>
    </w:rPr>
  </w:style>
  <w:style w:type="character" w:styleId="WW8Num3z0" w:customStyle="1">
    <w:name w:val="WW8Num3z0"/>
    <w:qFormat/>
    <w:rPr>
      <w:rFonts w:ascii="Symbol" w:hAnsi="Symbol" w:cs="OpenSymbol;Arial Unicode MS"/>
      <w:lang w:val="nl-NL"/>
    </w:rPr>
  </w:style>
  <w:style w:type="character" w:styleId="WW8Num8z0" w:customStyle="1">
    <w:name w:val="WW8Num8z0"/>
    <w:qFormat/>
    <w:rPr>
      <w:rFonts w:ascii="Symbol" w:hAnsi="Symbol" w:cs="OpenSymbol;Arial Unicode MS"/>
      <w:lang w:val="nl-NL"/>
    </w:rPr>
  </w:style>
  <w:style w:type="character" w:styleId="WW8Num8z1" w:customStyle="1">
    <w:name w:val="WW8Num8z1"/>
    <w:qFormat/>
    <w:rPr>
      <w:rFonts w:ascii="OpenSymbol;Arial Unicode MS" w:hAnsi="OpenSymbol;Arial Unicode MS" w:cs="OpenSymbol;Arial Unicode MS"/>
    </w:rPr>
  </w:style>
  <w:style w:type="character" w:styleId="WW8Num4z0" w:customStyle="1">
    <w:name w:val="WW8Num4z0"/>
    <w:qFormat/>
    <w:rPr>
      <w:rFonts w:ascii="Symbol" w:hAnsi="Symbol" w:cs="OpenSymbol;Arial Unicode MS"/>
    </w:rPr>
  </w:style>
  <w:style w:type="character" w:styleId="WW8Num5z0" w:customStyle="1">
    <w:name w:val="WW8Num5z0"/>
    <w:qFormat/>
    <w:rPr>
      <w:rFonts w:ascii="Symbol" w:hAnsi="Symbol" w:cs="OpenSymbol;Arial Unicode MS"/>
    </w:rPr>
  </w:style>
  <w:style w:type="character" w:styleId="WW8Num6z0" w:customStyle="1">
    <w:name w:val="WW8Num6z0"/>
    <w:qFormat/>
    <w:rPr>
      <w:rFonts w:ascii="Symbol" w:hAnsi="Symbol" w:cs="OpenSymbol;Arial Unicode MS"/>
      <w:lang w:val="nl-NL"/>
    </w:rPr>
  </w:style>
  <w:style w:type="character" w:styleId="WW8Num7z0" w:customStyle="1">
    <w:name w:val="WW8Num7z0"/>
    <w:qFormat/>
    <w:rPr>
      <w:rFonts w:ascii="Symbol" w:hAnsi="Symbol" w:cs="OpenSymbol;Arial Unicode MS"/>
      <w:lang w:val="nl-NL"/>
    </w:rPr>
  </w:style>
  <w:style w:type="character" w:styleId="Indexkoppeling" w:customStyle="1">
    <w:name w:val="Indexkoppeling"/>
    <w:qFormat/>
    <w:rPr/>
  </w:style>
  <w:style w:type="character" w:styleId="Voetnootanker" w:customStyle="1">
    <w:name w:val="Voetnootanker"/>
    <w:rPr>
      <w:vertAlign w:val="superscript"/>
    </w:rPr>
  </w:style>
  <w:style w:type="character" w:styleId="Voetnoottekens" w:customStyle="1">
    <w:name w:val="Voetnoottekens"/>
    <w:qFormat/>
    <w:rPr/>
  </w:style>
  <w:style w:type="character" w:styleId="Nummeringssymbolen" w:customStyle="1">
    <w:name w:val="Nummeringssymbolen"/>
    <w:qFormat/>
    <w:rPr/>
  </w:style>
  <w:style w:type="character" w:styleId="TekstopmerkingChar" w:customStyle="1">
    <w:name w:val="Tekst opmerking Char"/>
    <w:basedOn w:val="DefaultParagraphFont"/>
    <w:qFormat/>
    <w:rPr>
      <w:rFonts w:cs="Mangal"/>
      <w:sz w:val="20"/>
      <w:szCs w:val="18"/>
    </w:rPr>
  </w:style>
  <w:style w:type="character" w:styleId="Annotationreference">
    <w:name w:val="annotation reference"/>
    <w:basedOn w:val="DefaultParagraphFont"/>
    <w:qFormat/>
    <w:rPr>
      <w:sz w:val="16"/>
      <w:szCs w:val="16"/>
    </w:rPr>
  </w:style>
  <w:style w:type="character" w:styleId="BallontekstChar" w:customStyle="1">
    <w:name w:val="Ballontekst Char"/>
    <w:basedOn w:val="DefaultParagraphFont"/>
    <w:qFormat/>
    <w:rPr>
      <w:rFonts w:ascii="Tahoma" w:hAnsi="Tahoma" w:cs="Mangal"/>
      <w:sz w:val="16"/>
      <w:szCs w:val="14"/>
    </w:rPr>
  </w:style>
  <w:style w:type="character" w:styleId="FootnoteCharacters" w:customStyle="1">
    <w:name w:val="Footnote Characters"/>
    <w:basedOn w:val="DefaultParagraphFont"/>
    <w:qFormat/>
    <w:rPr>
      <w:vertAlign w:val="superscript"/>
    </w:rPr>
  </w:style>
  <w:style w:type="character" w:styleId="VoetnoottekstChar" w:customStyle="1">
    <w:name w:val="Voetnoottekst Char"/>
    <w:basedOn w:val="DefaultParagraphFont"/>
    <w:qFormat/>
    <w:rPr>
      <w:sz w:val="20"/>
      <w:szCs w:val="20"/>
    </w:rPr>
  </w:style>
  <w:style w:type="character" w:styleId="ListLabel1" w:customStyle="1">
    <w:name w:val="ListLabel 1"/>
    <w:qFormat/>
    <w:rPr>
      <w:rFonts w:ascii="Verdana" w:hAnsi="Verdana" w:cs="OpenSymbol"/>
      <w:sz w:val="20"/>
    </w:rPr>
  </w:style>
  <w:style w:type="character" w:styleId="ListLabel2" w:customStyle="1">
    <w:name w:val="ListLabel 2"/>
    <w:qFormat/>
    <w:rPr>
      <w:rFonts w:cs="OpenSymbol;Arial Unicode MS"/>
      <w:lang w:val="nl-NL"/>
    </w:rPr>
  </w:style>
  <w:style w:type="character" w:styleId="ListLabel3" w:customStyle="1">
    <w:name w:val="ListLabel 3"/>
    <w:qFormat/>
    <w:rPr>
      <w:rFonts w:cs="OpenSymbol;Arial Unicode MS"/>
      <w:lang w:val="nl-NL"/>
    </w:rPr>
  </w:style>
  <w:style w:type="character" w:styleId="ListLabel4" w:customStyle="1">
    <w:name w:val="ListLabel 4"/>
    <w:qFormat/>
    <w:rPr>
      <w:rFonts w:cs="OpenSymbol;Arial Unicode MS"/>
      <w:lang w:val="nl-NL"/>
    </w:rPr>
  </w:style>
  <w:style w:type="character" w:styleId="ListLabel5" w:customStyle="1">
    <w:name w:val="ListLabel 5"/>
    <w:qFormat/>
    <w:rPr>
      <w:rFonts w:cs="OpenSymbol;Arial Unicode MS"/>
      <w:lang w:val="nl-NL"/>
    </w:rPr>
  </w:style>
  <w:style w:type="character" w:styleId="ListLabel6" w:customStyle="1">
    <w:name w:val="ListLabel 6"/>
    <w:qFormat/>
    <w:rPr>
      <w:rFonts w:cs="OpenSymbol;Arial Unicode MS"/>
      <w:lang w:val="nl-NL"/>
    </w:rPr>
  </w:style>
  <w:style w:type="character" w:styleId="ListLabel7" w:customStyle="1">
    <w:name w:val="ListLabel 7"/>
    <w:qFormat/>
    <w:rPr>
      <w:rFonts w:cs="OpenSymbol;Arial Unicode MS"/>
      <w:lang w:val="nl-NL"/>
    </w:rPr>
  </w:style>
  <w:style w:type="character" w:styleId="ListLabel8" w:customStyle="1">
    <w:name w:val="ListLabel 8"/>
    <w:qFormat/>
    <w:rPr>
      <w:rFonts w:cs="OpenSymbol;Arial Unicode MS"/>
      <w:lang w:val="nl-NL"/>
    </w:rPr>
  </w:style>
  <w:style w:type="character" w:styleId="ListLabel9" w:customStyle="1">
    <w:name w:val="ListLabel 9"/>
    <w:qFormat/>
    <w:rPr>
      <w:rFonts w:cs="OpenSymbol;Arial Unicode MS"/>
      <w:lang w:val="nl-NL"/>
    </w:rPr>
  </w:style>
  <w:style w:type="character" w:styleId="ListLabel10" w:customStyle="1">
    <w:name w:val="ListLabel 10"/>
    <w:qFormat/>
    <w:rPr>
      <w:rFonts w:cs="OpenSymbol"/>
    </w:rPr>
  </w:style>
  <w:style w:type="character" w:styleId="ListLabel11" w:customStyle="1">
    <w:name w:val="ListLabel 11"/>
    <w:qFormat/>
    <w:rPr>
      <w:rFonts w:cs="OpenSymbol"/>
    </w:rPr>
  </w:style>
  <w:style w:type="character" w:styleId="ListLabel12" w:customStyle="1">
    <w:name w:val="ListLabel 12"/>
    <w:qFormat/>
    <w:rPr>
      <w:rFonts w:cs="OpenSymbol"/>
    </w:rPr>
  </w:style>
  <w:style w:type="character" w:styleId="ListLabel13" w:customStyle="1">
    <w:name w:val="ListLabel 13"/>
    <w:qFormat/>
    <w:rPr>
      <w:rFonts w:cs="OpenSymbol"/>
    </w:rPr>
  </w:style>
  <w:style w:type="character" w:styleId="ListLabel14" w:customStyle="1">
    <w:name w:val="ListLabel 14"/>
    <w:qFormat/>
    <w:rPr>
      <w:rFonts w:cs="OpenSymbol"/>
    </w:rPr>
  </w:style>
  <w:style w:type="character" w:styleId="ListLabel15" w:customStyle="1">
    <w:name w:val="ListLabel 15"/>
    <w:qFormat/>
    <w:rPr>
      <w:rFonts w:cs="OpenSymbol"/>
    </w:rPr>
  </w:style>
  <w:style w:type="character" w:styleId="ListLabel16" w:customStyle="1">
    <w:name w:val="ListLabel 16"/>
    <w:qFormat/>
    <w:rPr>
      <w:rFonts w:cs="OpenSymbol"/>
    </w:rPr>
  </w:style>
  <w:style w:type="character" w:styleId="ListLabel17" w:customStyle="1">
    <w:name w:val="ListLabel 17"/>
    <w:qFormat/>
    <w:rPr>
      <w:rFonts w:cs="OpenSymbol"/>
    </w:rPr>
  </w:style>
  <w:style w:type="character" w:styleId="ListLabel18" w:customStyle="1">
    <w:name w:val="ListLabel 18"/>
    <w:qFormat/>
    <w:rPr>
      <w:rFonts w:cs="OpenSymbol"/>
    </w:rPr>
  </w:style>
  <w:style w:type="character" w:styleId="ListLabel19" w:customStyle="1">
    <w:name w:val="ListLabel 19"/>
    <w:qFormat/>
    <w:rPr>
      <w:rFonts w:ascii="Verdana" w:hAnsi="Verdana" w:cs="OpenSymbol"/>
      <w:sz w:val="20"/>
    </w:rPr>
  </w:style>
  <w:style w:type="character" w:styleId="ListLabel20" w:customStyle="1">
    <w:name w:val="ListLabel 20"/>
    <w:qFormat/>
    <w:rPr>
      <w:rFonts w:cs="OpenSymbol"/>
    </w:rPr>
  </w:style>
  <w:style w:type="character" w:styleId="ListLabel21" w:customStyle="1">
    <w:name w:val="ListLabel 21"/>
    <w:qFormat/>
    <w:rPr>
      <w:rFonts w:cs="OpenSymbol"/>
    </w:rPr>
  </w:style>
  <w:style w:type="character" w:styleId="ListLabel22" w:customStyle="1">
    <w:name w:val="ListLabel 22"/>
    <w:qFormat/>
    <w:rPr>
      <w:rFonts w:cs="OpenSymbol"/>
    </w:rPr>
  </w:style>
  <w:style w:type="character" w:styleId="ListLabel23" w:customStyle="1">
    <w:name w:val="ListLabel 23"/>
    <w:qFormat/>
    <w:rPr>
      <w:rFonts w:cs="OpenSymbol"/>
    </w:rPr>
  </w:style>
  <w:style w:type="character" w:styleId="ListLabel24" w:customStyle="1">
    <w:name w:val="ListLabel 24"/>
    <w:qFormat/>
    <w:rPr>
      <w:rFonts w:cs="OpenSymbol"/>
    </w:rPr>
  </w:style>
  <w:style w:type="character" w:styleId="ListLabel25" w:customStyle="1">
    <w:name w:val="ListLabel 25"/>
    <w:qFormat/>
    <w:rPr>
      <w:rFonts w:cs="OpenSymbol"/>
    </w:rPr>
  </w:style>
  <w:style w:type="character" w:styleId="ListLabel26" w:customStyle="1">
    <w:name w:val="ListLabel 26"/>
    <w:qFormat/>
    <w:rPr>
      <w:rFonts w:cs="OpenSymbol"/>
    </w:rPr>
  </w:style>
  <w:style w:type="character" w:styleId="ListLabel27" w:customStyle="1">
    <w:name w:val="ListLabel 27"/>
    <w:qFormat/>
    <w:rPr>
      <w:rFonts w:cs="OpenSymbol"/>
    </w:rPr>
  </w:style>
  <w:style w:type="character" w:styleId="ListLabel28" w:customStyle="1">
    <w:name w:val="ListLabel 28"/>
    <w:qFormat/>
    <w:rPr>
      <w:rFonts w:ascii="Verdana" w:hAnsi="Verdana" w:cs="OpenSymbol"/>
      <w:sz w:val="20"/>
    </w:rPr>
  </w:style>
  <w:style w:type="character" w:styleId="ListLabel29" w:customStyle="1">
    <w:name w:val="ListLabel 29"/>
    <w:qFormat/>
    <w:rPr>
      <w:rFonts w:cs="OpenSymbol"/>
    </w:rPr>
  </w:style>
  <w:style w:type="character" w:styleId="ListLabel30" w:customStyle="1">
    <w:name w:val="ListLabel 30"/>
    <w:qFormat/>
    <w:rPr>
      <w:rFonts w:cs="OpenSymbol"/>
    </w:rPr>
  </w:style>
  <w:style w:type="character" w:styleId="ListLabel31" w:customStyle="1">
    <w:name w:val="ListLabel 31"/>
    <w:qFormat/>
    <w:rPr>
      <w:rFonts w:cs="OpenSymbol"/>
    </w:rPr>
  </w:style>
  <w:style w:type="character" w:styleId="ListLabel32" w:customStyle="1">
    <w:name w:val="ListLabel 32"/>
    <w:qFormat/>
    <w:rPr>
      <w:rFonts w:cs="OpenSymbol"/>
    </w:rPr>
  </w:style>
  <w:style w:type="character" w:styleId="ListLabel33" w:customStyle="1">
    <w:name w:val="ListLabel 33"/>
    <w:qFormat/>
    <w:rPr>
      <w:rFonts w:cs="OpenSymbol"/>
    </w:rPr>
  </w:style>
  <w:style w:type="character" w:styleId="ListLabel34" w:customStyle="1">
    <w:name w:val="ListLabel 34"/>
    <w:qFormat/>
    <w:rPr>
      <w:rFonts w:cs="OpenSymbol"/>
    </w:rPr>
  </w:style>
  <w:style w:type="character" w:styleId="ListLabel35" w:customStyle="1">
    <w:name w:val="ListLabel 35"/>
    <w:qFormat/>
    <w:rPr>
      <w:rFonts w:cs="OpenSymbol"/>
    </w:rPr>
  </w:style>
  <w:style w:type="character" w:styleId="ListLabel36" w:customStyle="1">
    <w:name w:val="ListLabel 36"/>
    <w:qFormat/>
    <w:rPr>
      <w:rFonts w:cs="OpenSymbol"/>
    </w:rPr>
  </w:style>
  <w:style w:type="character" w:styleId="ListLabel37" w:customStyle="1">
    <w:name w:val="ListLabel 37"/>
    <w:qFormat/>
    <w:rPr>
      <w:rFonts w:ascii="Verdana" w:hAnsi="Verdana" w:cs="OpenSymbol"/>
      <w:sz w:val="20"/>
    </w:rPr>
  </w:style>
  <w:style w:type="character" w:styleId="ListLabel38" w:customStyle="1">
    <w:name w:val="ListLabel 38"/>
    <w:qFormat/>
    <w:rPr>
      <w:rFonts w:cs="OpenSymbol"/>
    </w:rPr>
  </w:style>
  <w:style w:type="character" w:styleId="ListLabel39" w:customStyle="1">
    <w:name w:val="ListLabel 39"/>
    <w:qFormat/>
    <w:rPr>
      <w:rFonts w:cs="OpenSymbol"/>
    </w:rPr>
  </w:style>
  <w:style w:type="character" w:styleId="ListLabel40" w:customStyle="1">
    <w:name w:val="ListLabel 40"/>
    <w:qFormat/>
    <w:rPr>
      <w:rFonts w:cs="OpenSymbol"/>
    </w:rPr>
  </w:style>
  <w:style w:type="character" w:styleId="ListLabel41" w:customStyle="1">
    <w:name w:val="ListLabel 41"/>
    <w:qFormat/>
    <w:rPr>
      <w:rFonts w:cs="OpenSymbol"/>
    </w:rPr>
  </w:style>
  <w:style w:type="character" w:styleId="ListLabel42" w:customStyle="1">
    <w:name w:val="ListLabel 42"/>
    <w:qFormat/>
    <w:rPr>
      <w:rFonts w:cs="OpenSymbol"/>
    </w:rPr>
  </w:style>
  <w:style w:type="character" w:styleId="ListLabel43" w:customStyle="1">
    <w:name w:val="ListLabel 43"/>
    <w:qFormat/>
    <w:rPr>
      <w:rFonts w:cs="OpenSymbol"/>
    </w:rPr>
  </w:style>
  <w:style w:type="character" w:styleId="ListLabel44" w:customStyle="1">
    <w:name w:val="ListLabel 44"/>
    <w:qFormat/>
    <w:rPr>
      <w:rFonts w:cs="OpenSymbol"/>
    </w:rPr>
  </w:style>
  <w:style w:type="character" w:styleId="ListLabel45" w:customStyle="1">
    <w:name w:val="ListLabel 45"/>
    <w:qFormat/>
    <w:rPr>
      <w:rFonts w:cs="OpenSymbol"/>
    </w:rPr>
  </w:style>
  <w:style w:type="character" w:styleId="ListLabel46" w:customStyle="1">
    <w:name w:val="ListLabel 46"/>
    <w:qFormat/>
    <w:rPr>
      <w:rFonts w:ascii="Verdana" w:hAnsi="Verdana" w:cs="OpenSymbol"/>
      <w:sz w:val="20"/>
    </w:rPr>
  </w:style>
  <w:style w:type="character" w:styleId="ListLabel47" w:customStyle="1">
    <w:name w:val="ListLabel 47"/>
    <w:qFormat/>
    <w:rPr>
      <w:rFonts w:cs="OpenSymbol"/>
    </w:rPr>
  </w:style>
  <w:style w:type="character" w:styleId="ListLabel48" w:customStyle="1">
    <w:name w:val="ListLabel 48"/>
    <w:qFormat/>
    <w:rPr>
      <w:rFonts w:cs="OpenSymbol"/>
    </w:rPr>
  </w:style>
  <w:style w:type="character" w:styleId="ListLabel49" w:customStyle="1">
    <w:name w:val="ListLabel 49"/>
    <w:qFormat/>
    <w:rPr>
      <w:rFonts w:cs="OpenSymbol"/>
    </w:rPr>
  </w:style>
  <w:style w:type="character" w:styleId="ListLabel50" w:customStyle="1">
    <w:name w:val="ListLabel 50"/>
    <w:qFormat/>
    <w:rPr>
      <w:rFonts w:cs="OpenSymbol"/>
    </w:rPr>
  </w:style>
  <w:style w:type="character" w:styleId="ListLabel51" w:customStyle="1">
    <w:name w:val="ListLabel 51"/>
    <w:qFormat/>
    <w:rPr>
      <w:rFonts w:cs="OpenSymbol"/>
    </w:rPr>
  </w:style>
  <w:style w:type="character" w:styleId="ListLabel52" w:customStyle="1">
    <w:name w:val="ListLabel 52"/>
    <w:qFormat/>
    <w:rPr>
      <w:rFonts w:cs="OpenSymbol"/>
    </w:rPr>
  </w:style>
  <w:style w:type="character" w:styleId="ListLabel53" w:customStyle="1">
    <w:name w:val="ListLabel 53"/>
    <w:qFormat/>
    <w:rPr>
      <w:rFonts w:cs="OpenSymbol"/>
    </w:rPr>
  </w:style>
  <w:style w:type="character" w:styleId="ListLabel54" w:customStyle="1">
    <w:name w:val="ListLabel 54"/>
    <w:qFormat/>
    <w:rPr>
      <w:rFonts w:cs="OpenSymbol"/>
    </w:rPr>
  </w:style>
  <w:style w:type="character" w:styleId="ListLabel55" w:customStyle="1">
    <w:name w:val="ListLabel 55"/>
    <w:qFormat/>
    <w:rPr>
      <w:rFonts w:ascii="Verdana" w:hAnsi="Verdana" w:cs="OpenSymbol"/>
      <w:sz w:val="20"/>
    </w:rPr>
  </w:style>
  <w:style w:type="character" w:styleId="ListLabel56" w:customStyle="1">
    <w:name w:val="ListLabel 56"/>
    <w:qFormat/>
    <w:rPr>
      <w:rFonts w:cs="OpenSymbol"/>
    </w:rPr>
  </w:style>
  <w:style w:type="character" w:styleId="ListLabel57" w:customStyle="1">
    <w:name w:val="ListLabel 57"/>
    <w:qFormat/>
    <w:rPr>
      <w:rFonts w:cs="OpenSymbol"/>
    </w:rPr>
  </w:style>
  <w:style w:type="character" w:styleId="ListLabel58" w:customStyle="1">
    <w:name w:val="ListLabel 58"/>
    <w:qFormat/>
    <w:rPr>
      <w:rFonts w:cs="OpenSymbol"/>
    </w:rPr>
  </w:style>
  <w:style w:type="character" w:styleId="ListLabel59" w:customStyle="1">
    <w:name w:val="ListLabel 59"/>
    <w:qFormat/>
    <w:rPr>
      <w:rFonts w:cs="OpenSymbol"/>
    </w:rPr>
  </w:style>
  <w:style w:type="character" w:styleId="ListLabel60" w:customStyle="1">
    <w:name w:val="ListLabel 60"/>
    <w:qFormat/>
    <w:rPr>
      <w:rFonts w:cs="OpenSymbol"/>
    </w:rPr>
  </w:style>
  <w:style w:type="character" w:styleId="ListLabel61" w:customStyle="1">
    <w:name w:val="ListLabel 61"/>
    <w:qFormat/>
    <w:rPr>
      <w:rFonts w:cs="OpenSymbol"/>
    </w:rPr>
  </w:style>
  <w:style w:type="character" w:styleId="ListLabel62" w:customStyle="1">
    <w:name w:val="ListLabel 62"/>
    <w:qFormat/>
    <w:rPr>
      <w:rFonts w:cs="OpenSymbol"/>
    </w:rPr>
  </w:style>
  <w:style w:type="character" w:styleId="ListLabel63" w:customStyle="1">
    <w:name w:val="ListLabel 63"/>
    <w:qFormat/>
    <w:rPr>
      <w:rFonts w:cs="OpenSymbol"/>
    </w:rPr>
  </w:style>
  <w:style w:type="character" w:styleId="ListLabel64" w:customStyle="1">
    <w:name w:val="ListLabel 64"/>
    <w:qFormat/>
    <w:rPr>
      <w:rFonts w:ascii="Verdana" w:hAnsi="Verdana" w:cs="OpenSymbol"/>
      <w:sz w:val="20"/>
    </w:rPr>
  </w:style>
  <w:style w:type="character" w:styleId="ListLabel65" w:customStyle="1">
    <w:name w:val="ListLabel 65"/>
    <w:qFormat/>
    <w:rPr>
      <w:rFonts w:cs="OpenSymbol"/>
    </w:rPr>
  </w:style>
  <w:style w:type="character" w:styleId="ListLabel66" w:customStyle="1">
    <w:name w:val="ListLabel 66"/>
    <w:qFormat/>
    <w:rPr>
      <w:rFonts w:cs="OpenSymbol"/>
    </w:rPr>
  </w:style>
  <w:style w:type="character" w:styleId="ListLabel67" w:customStyle="1">
    <w:name w:val="ListLabel 67"/>
    <w:qFormat/>
    <w:rPr>
      <w:rFonts w:cs="OpenSymbol"/>
    </w:rPr>
  </w:style>
  <w:style w:type="character" w:styleId="ListLabel68" w:customStyle="1">
    <w:name w:val="ListLabel 68"/>
    <w:qFormat/>
    <w:rPr>
      <w:rFonts w:cs="OpenSymbol"/>
    </w:rPr>
  </w:style>
  <w:style w:type="character" w:styleId="ListLabel69" w:customStyle="1">
    <w:name w:val="ListLabel 69"/>
    <w:qFormat/>
    <w:rPr>
      <w:rFonts w:cs="OpenSymbol"/>
    </w:rPr>
  </w:style>
  <w:style w:type="character" w:styleId="ListLabel70" w:customStyle="1">
    <w:name w:val="ListLabel 70"/>
    <w:qFormat/>
    <w:rPr>
      <w:rFonts w:cs="OpenSymbol"/>
    </w:rPr>
  </w:style>
  <w:style w:type="character" w:styleId="ListLabel71" w:customStyle="1">
    <w:name w:val="ListLabel 71"/>
    <w:qFormat/>
    <w:rPr>
      <w:rFonts w:cs="OpenSymbol"/>
    </w:rPr>
  </w:style>
  <w:style w:type="character" w:styleId="ListLabel72" w:customStyle="1">
    <w:name w:val="ListLabel 72"/>
    <w:qFormat/>
    <w:rPr>
      <w:rFonts w:cs="OpenSymbol"/>
    </w:rPr>
  </w:style>
  <w:style w:type="character" w:styleId="ListLabel73" w:customStyle="1">
    <w:name w:val="ListLabel 73"/>
    <w:qFormat/>
    <w:rPr>
      <w:rFonts w:cs="Courier New"/>
    </w:rPr>
  </w:style>
  <w:style w:type="character" w:styleId="ListLabel74" w:customStyle="1">
    <w:name w:val="ListLabel 74"/>
    <w:qFormat/>
    <w:rPr>
      <w:rFonts w:cs="Courier New"/>
    </w:rPr>
  </w:style>
  <w:style w:type="character" w:styleId="ListLabel75" w:customStyle="1">
    <w:name w:val="ListLabel 75"/>
    <w:qFormat/>
    <w:rPr>
      <w:rFonts w:cs="Courier New"/>
    </w:rPr>
  </w:style>
  <w:style w:type="character" w:styleId="ListLabel76" w:customStyle="1">
    <w:name w:val="ListLabel 76"/>
    <w:qFormat/>
    <w:rPr>
      <w:rFonts w:eastAsia="Times New Roman" w:cs="Times New Roman"/>
      <w:sz w:val="20"/>
    </w:rPr>
  </w:style>
  <w:style w:type="character" w:styleId="ListLabel77" w:customStyle="1">
    <w:name w:val="ListLabel 77"/>
    <w:qFormat/>
    <w:rPr>
      <w:rFonts w:cs="Courier New"/>
    </w:rPr>
  </w:style>
  <w:style w:type="character" w:styleId="ListLabel78" w:customStyle="1">
    <w:name w:val="ListLabel 78"/>
    <w:qFormat/>
    <w:rPr>
      <w:rFonts w:cs="Courier New"/>
    </w:rPr>
  </w:style>
  <w:style w:type="character" w:styleId="ListLabel79" w:customStyle="1">
    <w:name w:val="ListLabel 79"/>
    <w:qFormat/>
    <w:rPr>
      <w:rFonts w:cs="Courier New"/>
    </w:rPr>
  </w:style>
  <w:style w:type="character" w:styleId="ListLabel80" w:customStyle="1">
    <w:name w:val="ListLabel 80"/>
    <w:qFormat/>
    <w:rPr>
      <w:rFonts w:cs="Courier New"/>
    </w:rPr>
  </w:style>
  <w:style w:type="character" w:styleId="ListLabel81" w:customStyle="1">
    <w:name w:val="ListLabel 81"/>
    <w:qFormat/>
    <w:rPr>
      <w:rFonts w:cs="Courier New"/>
    </w:rPr>
  </w:style>
  <w:style w:type="character" w:styleId="ListLabel82" w:customStyle="1">
    <w:name w:val="ListLabel 82"/>
    <w:qFormat/>
    <w:rPr>
      <w:rFonts w:cs="Courier New"/>
    </w:rPr>
  </w:style>
  <w:style w:type="character" w:styleId="ListLabel83" w:customStyle="1">
    <w:name w:val="ListLabel 83"/>
    <w:qFormat/>
    <w:rPr>
      <w:rFonts w:eastAsia="Times New Roman" w:cs="Times New Roman"/>
      <w:sz w:val="20"/>
    </w:rPr>
  </w:style>
  <w:style w:type="character" w:styleId="ListLabel84" w:customStyle="1">
    <w:name w:val="ListLabel 84"/>
    <w:qFormat/>
    <w:rPr>
      <w:rFonts w:cs="Courier New"/>
    </w:rPr>
  </w:style>
  <w:style w:type="character" w:styleId="ListLabel85" w:customStyle="1">
    <w:name w:val="ListLabel 85"/>
    <w:qFormat/>
    <w:rPr>
      <w:rFonts w:cs="Courier New"/>
    </w:rPr>
  </w:style>
  <w:style w:type="character" w:styleId="ListLabel86" w:customStyle="1">
    <w:name w:val="ListLabel 86"/>
    <w:qFormat/>
    <w:rPr>
      <w:rFonts w:cs="Courier New"/>
    </w:rPr>
  </w:style>
  <w:style w:type="character" w:styleId="ListLabel87" w:customStyle="1">
    <w:name w:val="ListLabel 87"/>
    <w:qFormat/>
    <w:rPr>
      <w:rFonts w:ascii="Verdana" w:hAnsi="Verdana" w:eastAsia="Times New Roman" w:cs="Times New Roman"/>
      <w:sz w:val="20"/>
    </w:rPr>
  </w:style>
  <w:style w:type="character" w:styleId="ListLabel88" w:customStyle="1">
    <w:name w:val="ListLabel 88"/>
    <w:qFormat/>
    <w:rPr>
      <w:rFonts w:eastAsia="Times New Roman" w:cs="Times New Roman"/>
    </w:rPr>
  </w:style>
  <w:style w:type="character" w:styleId="ListLabel89" w:customStyle="1">
    <w:name w:val="ListLabel 89"/>
    <w:qFormat/>
    <w:rPr>
      <w:rFonts w:cs="Courier New"/>
    </w:rPr>
  </w:style>
  <w:style w:type="character" w:styleId="ListLabel90" w:customStyle="1">
    <w:name w:val="ListLabel 90"/>
    <w:qFormat/>
    <w:rPr>
      <w:rFonts w:cs="Courier New"/>
    </w:rPr>
  </w:style>
  <w:style w:type="character" w:styleId="ListLabel91" w:customStyle="1">
    <w:name w:val="ListLabel 91"/>
    <w:qFormat/>
    <w:rPr>
      <w:rFonts w:cs="Courier New"/>
    </w:rPr>
  </w:style>
  <w:style w:type="character" w:styleId="ListLabel92" w:customStyle="1">
    <w:name w:val="ListLabel 92"/>
    <w:qFormat/>
    <w:rPr>
      <w:rFonts w:ascii="Verdana" w:hAnsi="Verdana" w:eastAsia="Times New Roman" w:cs="Times New Roman"/>
      <w:sz w:val="16"/>
    </w:rPr>
  </w:style>
  <w:style w:type="character" w:styleId="ListLabel93" w:customStyle="1">
    <w:name w:val="ListLabel 93"/>
    <w:qFormat/>
    <w:rPr>
      <w:rFonts w:cs="Courier New"/>
    </w:rPr>
  </w:style>
  <w:style w:type="character" w:styleId="ListLabel94" w:customStyle="1">
    <w:name w:val="ListLabel 94"/>
    <w:qFormat/>
    <w:rPr>
      <w:rFonts w:cs="Courier New"/>
    </w:rPr>
  </w:style>
  <w:style w:type="character" w:styleId="ListLabel95" w:customStyle="1">
    <w:name w:val="ListLabel 95"/>
    <w:qFormat/>
    <w:rPr>
      <w:rFonts w:cs="Courier New"/>
    </w:rPr>
  </w:style>
  <w:style w:type="character" w:styleId="ListLabel96" w:customStyle="1">
    <w:name w:val="ListLabel 96"/>
    <w:qFormat/>
    <w:rPr>
      <w:rFonts w:eastAsia="Times New Roman" w:cs="Times New Roman"/>
    </w:rPr>
  </w:style>
  <w:style w:type="character" w:styleId="ListLabel97" w:customStyle="1">
    <w:name w:val="ListLabel 97"/>
    <w:qFormat/>
    <w:rPr>
      <w:rFonts w:cs="Courier New"/>
    </w:rPr>
  </w:style>
  <w:style w:type="character" w:styleId="ListLabel98" w:customStyle="1">
    <w:name w:val="ListLabel 98"/>
    <w:qFormat/>
    <w:rPr>
      <w:rFonts w:cs="Courier New"/>
    </w:rPr>
  </w:style>
  <w:style w:type="character" w:styleId="ListLabel99" w:customStyle="1">
    <w:name w:val="ListLabel 99"/>
    <w:qFormat/>
    <w:rPr>
      <w:rFonts w:cs="Courier New"/>
    </w:rPr>
  </w:style>
  <w:style w:type="character" w:styleId="ListLabel100" w:customStyle="1">
    <w:name w:val="ListLabel 100"/>
    <w:qFormat/>
    <w:rPr>
      <w:rFonts w:eastAsia="Tahoma" w:cs="Lohit Devanagari"/>
      <w:sz w:val="20"/>
    </w:rPr>
  </w:style>
  <w:style w:type="character" w:styleId="ListLabel101" w:customStyle="1">
    <w:name w:val="ListLabel 101"/>
    <w:qFormat/>
    <w:rPr>
      <w:rFonts w:cs="Courier New"/>
      <w:sz w:val="20"/>
    </w:rPr>
  </w:style>
  <w:style w:type="character" w:styleId="ListLabel102" w:customStyle="1">
    <w:name w:val="ListLabel 102"/>
    <w:qFormat/>
    <w:rPr>
      <w:rFonts w:cs="Courier New"/>
    </w:rPr>
  </w:style>
  <w:style w:type="character" w:styleId="ListLabel103" w:customStyle="1">
    <w:name w:val="ListLabel 103"/>
    <w:qFormat/>
    <w:rPr>
      <w:rFonts w:cs="Courier New"/>
    </w:rPr>
  </w:style>
  <w:style w:type="character" w:styleId="ListLabel104" w:customStyle="1">
    <w:name w:val="ListLabel 104"/>
    <w:qFormat/>
    <w:rPr>
      <w:rFonts w:ascii="Verdana" w:hAnsi="Verdana"/>
      <w:sz w:val="20"/>
      <w:szCs w:val="20"/>
    </w:rPr>
  </w:style>
  <w:style w:type="character" w:styleId="ListLabel105" w:customStyle="1">
    <w:name w:val="ListLabel 105"/>
    <w:qFormat/>
    <w:rPr>
      <w:rFonts w:ascii="Verdana" w:hAnsi="Verdana"/>
      <w:sz w:val="20"/>
      <w:szCs w:val="20"/>
      <w:u w:val="none"/>
    </w:rPr>
  </w:style>
  <w:style w:type="character" w:styleId="ListLabel106" w:customStyle="1">
    <w:name w:val="ListLabel 106"/>
    <w:qFormat/>
    <w:rPr>
      <w:rFonts w:ascii="Verdana" w:hAnsi="Verdana"/>
      <w:sz w:val="20"/>
      <w:szCs w:val="20"/>
    </w:rPr>
  </w:style>
  <w:style w:type="character" w:styleId="ListLabel107" w:customStyle="1">
    <w:name w:val="ListLabel 107"/>
    <w:qFormat/>
    <w:rPr>
      <w:sz w:val="20"/>
      <w:szCs w:val="20"/>
      <w:u w:val="none"/>
    </w:rPr>
  </w:style>
  <w:style w:type="character" w:styleId="ListLabel108" w:customStyle="1">
    <w:name w:val="ListLabel 108"/>
    <w:qFormat/>
    <w:rPr>
      <w:rFonts w:ascii="Verdana" w:hAnsi="Verdana"/>
      <w:color w:val="000000"/>
      <w:sz w:val="20"/>
      <w:szCs w:val="20"/>
    </w:rPr>
  </w:style>
  <w:style w:type="character" w:styleId="Eindnootanker" w:customStyle="1">
    <w:name w:val="Eindnootanker"/>
    <w:rPr>
      <w:vertAlign w:val="superscript"/>
    </w:rPr>
  </w:style>
  <w:style w:type="character" w:styleId="Eindnoottekens" w:customStyle="1">
    <w:name w:val="Eindnoottekens"/>
    <w:qFormat/>
    <w:rPr/>
  </w:style>
  <w:style w:type="character" w:styleId="ListLabel109" w:customStyle="1">
    <w:name w:val="ListLabel 109"/>
    <w:qFormat/>
    <w:rPr>
      <w:rFonts w:ascii="Verdana" w:hAnsi="Verdana" w:cs="OpenSymbol"/>
      <w:sz w:val="20"/>
    </w:rPr>
  </w:style>
  <w:style w:type="character" w:styleId="ListLabel110" w:customStyle="1">
    <w:name w:val="ListLabel 110"/>
    <w:qFormat/>
    <w:rPr>
      <w:rFonts w:cs="OpenSymbol;Arial Unicode MS"/>
      <w:lang w:val="nl-NL"/>
    </w:rPr>
  </w:style>
  <w:style w:type="character" w:styleId="ListLabel111" w:customStyle="1">
    <w:name w:val="ListLabel 111"/>
    <w:qFormat/>
    <w:rPr>
      <w:rFonts w:cs="OpenSymbol;Arial Unicode MS"/>
      <w:lang w:val="nl-NL"/>
    </w:rPr>
  </w:style>
  <w:style w:type="character" w:styleId="ListLabel112" w:customStyle="1">
    <w:name w:val="ListLabel 112"/>
    <w:qFormat/>
    <w:rPr>
      <w:rFonts w:cs="OpenSymbol;Arial Unicode MS"/>
      <w:lang w:val="nl-NL"/>
    </w:rPr>
  </w:style>
  <w:style w:type="character" w:styleId="ListLabel113" w:customStyle="1">
    <w:name w:val="ListLabel 113"/>
    <w:qFormat/>
    <w:rPr>
      <w:rFonts w:cs="OpenSymbol;Arial Unicode MS"/>
      <w:lang w:val="nl-NL"/>
    </w:rPr>
  </w:style>
  <w:style w:type="character" w:styleId="ListLabel114" w:customStyle="1">
    <w:name w:val="ListLabel 114"/>
    <w:qFormat/>
    <w:rPr>
      <w:rFonts w:cs="OpenSymbol;Arial Unicode MS"/>
      <w:lang w:val="nl-NL"/>
    </w:rPr>
  </w:style>
  <w:style w:type="character" w:styleId="ListLabel115" w:customStyle="1">
    <w:name w:val="ListLabel 115"/>
    <w:qFormat/>
    <w:rPr>
      <w:rFonts w:cs="OpenSymbol;Arial Unicode MS"/>
      <w:lang w:val="nl-NL"/>
    </w:rPr>
  </w:style>
  <w:style w:type="character" w:styleId="ListLabel116" w:customStyle="1">
    <w:name w:val="ListLabel 116"/>
    <w:qFormat/>
    <w:rPr>
      <w:rFonts w:cs="OpenSymbol;Arial Unicode MS"/>
      <w:lang w:val="nl-NL"/>
    </w:rPr>
  </w:style>
  <w:style w:type="character" w:styleId="ListLabel117" w:customStyle="1">
    <w:name w:val="ListLabel 117"/>
    <w:qFormat/>
    <w:rPr>
      <w:rFonts w:cs="OpenSymbol;Arial Unicode MS"/>
      <w:lang w:val="nl-NL"/>
    </w:rPr>
  </w:style>
  <w:style w:type="character" w:styleId="ListLabel118" w:customStyle="1">
    <w:name w:val="ListLabel 118"/>
    <w:qFormat/>
    <w:rPr>
      <w:rFonts w:ascii="Verdana" w:hAnsi="Verdana" w:cs="OpenSymbol"/>
      <w:sz w:val="20"/>
    </w:rPr>
  </w:style>
  <w:style w:type="character" w:styleId="ListLabel119" w:customStyle="1">
    <w:name w:val="ListLabel 119"/>
    <w:qFormat/>
    <w:rPr>
      <w:rFonts w:cs="OpenSymbol"/>
    </w:rPr>
  </w:style>
  <w:style w:type="character" w:styleId="ListLabel120" w:customStyle="1">
    <w:name w:val="ListLabel 120"/>
    <w:qFormat/>
    <w:rPr>
      <w:rFonts w:cs="OpenSymbol"/>
    </w:rPr>
  </w:style>
  <w:style w:type="character" w:styleId="ListLabel121" w:customStyle="1">
    <w:name w:val="ListLabel 121"/>
    <w:qFormat/>
    <w:rPr>
      <w:rFonts w:cs="OpenSymbol"/>
    </w:rPr>
  </w:style>
  <w:style w:type="character" w:styleId="ListLabel122" w:customStyle="1">
    <w:name w:val="ListLabel 122"/>
    <w:qFormat/>
    <w:rPr>
      <w:rFonts w:cs="OpenSymbol"/>
    </w:rPr>
  </w:style>
  <w:style w:type="character" w:styleId="ListLabel123" w:customStyle="1">
    <w:name w:val="ListLabel 123"/>
    <w:qFormat/>
    <w:rPr>
      <w:rFonts w:cs="OpenSymbol"/>
    </w:rPr>
  </w:style>
  <w:style w:type="character" w:styleId="ListLabel124" w:customStyle="1">
    <w:name w:val="ListLabel 124"/>
    <w:qFormat/>
    <w:rPr>
      <w:rFonts w:cs="OpenSymbol"/>
    </w:rPr>
  </w:style>
  <w:style w:type="character" w:styleId="ListLabel125" w:customStyle="1">
    <w:name w:val="ListLabel 125"/>
    <w:qFormat/>
    <w:rPr>
      <w:rFonts w:cs="OpenSymbol"/>
    </w:rPr>
  </w:style>
  <w:style w:type="character" w:styleId="ListLabel126" w:customStyle="1">
    <w:name w:val="ListLabel 126"/>
    <w:qFormat/>
    <w:rPr>
      <w:rFonts w:cs="OpenSymbol"/>
    </w:rPr>
  </w:style>
  <w:style w:type="character" w:styleId="ListLabel127" w:customStyle="1">
    <w:name w:val="ListLabel 127"/>
    <w:qFormat/>
    <w:rPr>
      <w:rFonts w:cs="OpenSymbol"/>
      <w:sz w:val="20"/>
    </w:rPr>
  </w:style>
  <w:style w:type="character" w:styleId="ListLabel128" w:customStyle="1">
    <w:name w:val="ListLabel 128"/>
    <w:qFormat/>
    <w:rPr>
      <w:rFonts w:cs="OpenSymbol"/>
    </w:rPr>
  </w:style>
  <w:style w:type="character" w:styleId="ListLabel129" w:customStyle="1">
    <w:name w:val="ListLabel 129"/>
    <w:qFormat/>
    <w:rPr>
      <w:rFonts w:cs="OpenSymbol"/>
    </w:rPr>
  </w:style>
  <w:style w:type="character" w:styleId="ListLabel130" w:customStyle="1">
    <w:name w:val="ListLabel 130"/>
    <w:qFormat/>
    <w:rPr>
      <w:rFonts w:cs="OpenSymbol"/>
    </w:rPr>
  </w:style>
  <w:style w:type="character" w:styleId="ListLabel131" w:customStyle="1">
    <w:name w:val="ListLabel 131"/>
    <w:qFormat/>
    <w:rPr>
      <w:rFonts w:cs="OpenSymbol"/>
    </w:rPr>
  </w:style>
  <w:style w:type="character" w:styleId="ListLabel132" w:customStyle="1">
    <w:name w:val="ListLabel 132"/>
    <w:qFormat/>
    <w:rPr>
      <w:rFonts w:cs="OpenSymbol"/>
    </w:rPr>
  </w:style>
  <w:style w:type="character" w:styleId="ListLabel133" w:customStyle="1">
    <w:name w:val="ListLabel 133"/>
    <w:qFormat/>
    <w:rPr>
      <w:rFonts w:cs="OpenSymbol"/>
    </w:rPr>
  </w:style>
  <w:style w:type="character" w:styleId="ListLabel134" w:customStyle="1">
    <w:name w:val="ListLabel 134"/>
    <w:qFormat/>
    <w:rPr>
      <w:rFonts w:cs="OpenSymbol"/>
    </w:rPr>
  </w:style>
  <w:style w:type="character" w:styleId="ListLabel135" w:customStyle="1">
    <w:name w:val="ListLabel 135"/>
    <w:qFormat/>
    <w:rPr>
      <w:rFonts w:cs="OpenSymbol"/>
    </w:rPr>
  </w:style>
  <w:style w:type="character" w:styleId="ListLabel136" w:customStyle="1">
    <w:name w:val="ListLabel 136"/>
    <w:qFormat/>
    <w:rPr>
      <w:rFonts w:cs="OpenSymbol"/>
      <w:sz w:val="20"/>
    </w:rPr>
  </w:style>
  <w:style w:type="character" w:styleId="ListLabel137" w:customStyle="1">
    <w:name w:val="ListLabel 137"/>
    <w:qFormat/>
    <w:rPr>
      <w:rFonts w:cs="OpenSymbol"/>
    </w:rPr>
  </w:style>
  <w:style w:type="character" w:styleId="ListLabel138" w:customStyle="1">
    <w:name w:val="ListLabel 138"/>
    <w:qFormat/>
    <w:rPr>
      <w:rFonts w:cs="OpenSymbol"/>
    </w:rPr>
  </w:style>
  <w:style w:type="character" w:styleId="ListLabel139" w:customStyle="1">
    <w:name w:val="ListLabel 139"/>
    <w:qFormat/>
    <w:rPr>
      <w:rFonts w:cs="OpenSymbol"/>
    </w:rPr>
  </w:style>
  <w:style w:type="character" w:styleId="ListLabel140" w:customStyle="1">
    <w:name w:val="ListLabel 140"/>
    <w:qFormat/>
    <w:rPr>
      <w:rFonts w:cs="OpenSymbol"/>
    </w:rPr>
  </w:style>
  <w:style w:type="character" w:styleId="ListLabel141" w:customStyle="1">
    <w:name w:val="ListLabel 141"/>
    <w:qFormat/>
    <w:rPr>
      <w:rFonts w:cs="OpenSymbol"/>
    </w:rPr>
  </w:style>
  <w:style w:type="character" w:styleId="ListLabel142" w:customStyle="1">
    <w:name w:val="ListLabel 142"/>
    <w:qFormat/>
    <w:rPr>
      <w:rFonts w:cs="OpenSymbol"/>
    </w:rPr>
  </w:style>
  <w:style w:type="character" w:styleId="ListLabel143" w:customStyle="1">
    <w:name w:val="ListLabel 143"/>
    <w:qFormat/>
    <w:rPr>
      <w:rFonts w:cs="OpenSymbol"/>
    </w:rPr>
  </w:style>
  <w:style w:type="character" w:styleId="ListLabel144" w:customStyle="1">
    <w:name w:val="ListLabel 144"/>
    <w:qFormat/>
    <w:rPr>
      <w:rFonts w:cs="OpenSymbol"/>
    </w:rPr>
  </w:style>
  <w:style w:type="character" w:styleId="ListLabel145" w:customStyle="1">
    <w:name w:val="ListLabel 145"/>
    <w:qFormat/>
    <w:rPr>
      <w:rFonts w:ascii="Verdana" w:hAnsi="Verdana" w:cs="OpenSymbol"/>
      <w:sz w:val="20"/>
    </w:rPr>
  </w:style>
  <w:style w:type="character" w:styleId="ListLabel146" w:customStyle="1">
    <w:name w:val="ListLabel 146"/>
    <w:qFormat/>
    <w:rPr>
      <w:rFonts w:cs="OpenSymbol"/>
    </w:rPr>
  </w:style>
  <w:style w:type="character" w:styleId="ListLabel147" w:customStyle="1">
    <w:name w:val="ListLabel 147"/>
    <w:qFormat/>
    <w:rPr>
      <w:rFonts w:cs="OpenSymbol"/>
    </w:rPr>
  </w:style>
  <w:style w:type="character" w:styleId="ListLabel148" w:customStyle="1">
    <w:name w:val="ListLabel 148"/>
    <w:qFormat/>
    <w:rPr>
      <w:rFonts w:cs="OpenSymbol"/>
    </w:rPr>
  </w:style>
  <w:style w:type="character" w:styleId="ListLabel149" w:customStyle="1">
    <w:name w:val="ListLabel 149"/>
    <w:qFormat/>
    <w:rPr>
      <w:rFonts w:cs="OpenSymbol"/>
    </w:rPr>
  </w:style>
  <w:style w:type="character" w:styleId="ListLabel150" w:customStyle="1">
    <w:name w:val="ListLabel 150"/>
    <w:qFormat/>
    <w:rPr>
      <w:rFonts w:cs="OpenSymbol"/>
    </w:rPr>
  </w:style>
  <w:style w:type="character" w:styleId="ListLabel151" w:customStyle="1">
    <w:name w:val="ListLabel 151"/>
    <w:qFormat/>
    <w:rPr>
      <w:rFonts w:cs="OpenSymbol"/>
    </w:rPr>
  </w:style>
  <w:style w:type="character" w:styleId="ListLabel152" w:customStyle="1">
    <w:name w:val="ListLabel 152"/>
    <w:qFormat/>
    <w:rPr>
      <w:rFonts w:cs="OpenSymbol"/>
    </w:rPr>
  </w:style>
  <w:style w:type="character" w:styleId="ListLabel153" w:customStyle="1">
    <w:name w:val="ListLabel 153"/>
    <w:qFormat/>
    <w:rPr>
      <w:rFonts w:cs="OpenSymbol"/>
    </w:rPr>
  </w:style>
  <w:style w:type="character" w:styleId="ListLabel154" w:customStyle="1">
    <w:name w:val="ListLabel 154"/>
    <w:qFormat/>
    <w:rPr>
      <w:rFonts w:ascii="Verdana" w:hAnsi="Verdana" w:cs="OpenSymbol"/>
      <w:sz w:val="20"/>
    </w:rPr>
  </w:style>
  <w:style w:type="character" w:styleId="ListLabel155" w:customStyle="1">
    <w:name w:val="ListLabel 155"/>
    <w:qFormat/>
    <w:rPr>
      <w:rFonts w:cs="OpenSymbol"/>
    </w:rPr>
  </w:style>
  <w:style w:type="character" w:styleId="ListLabel156" w:customStyle="1">
    <w:name w:val="ListLabel 156"/>
    <w:qFormat/>
    <w:rPr>
      <w:rFonts w:cs="OpenSymbol"/>
    </w:rPr>
  </w:style>
  <w:style w:type="character" w:styleId="ListLabel157" w:customStyle="1">
    <w:name w:val="ListLabel 157"/>
    <w:qFormat/>
    <w:rPr>
      <w:rFonts w:cs="OpenSymbol"/>
    </w:rPr>
  </w:style>
  <w:style w:type="character" w:styleId="ListLabel158" w:customStyle="1">
    <w:name w:val="ListLabel 158"/>
    <w:qFormat/>
    <w:rPr>
      <w:rFonts w:cs="OpenSymbol"/>
    </w:rPr>
  </w:style>
  <w:style w:type="character" w:styleId="ListLabel159" w:customStyle="1">
    <w:name w:val="ListLabel 159"/>
    <w:qFormat/>
    <w:rPr>
      <w:rFonts w:cs="OpenSymbol"/>
    </w:rPr>
  </w:style>
  <w:style w:type="character" w:styleId="ListLabel160" w:customStyle="1">
    <w:name w:val="ListLabel 160"/>
    <w:qFormat/>
    <w:rPr>
      <w:rFonts w:cs="OpenSymbol"/>
    </w:rPr>
  </w:style>
  <w:style w:type="character" w:styleId="ListLabel161" w:customStyle="1">
    <w:name w:val="ListLabel 161"/>
    <w:qFormat/>
    <w:rPr>
      <w:rFonts w:cs="OpenSymbol"/>
    </w:rPr>
  </w:style>
  <w:style w:type="character" w:styleId="ListLabel162" w:customStyle="1">
    <w:name w:val="ListLabel 162"/>
    <w:qFormat/>
    <w:rPr>
      <w:rFonts w:cs="OpenSymbol"/>
    </w:rPr>
  </w:style>
  <w:style w:type="character" w:styleId="ListLabel163" w:customStyle="1">
    <w:name w:val="ListLabel 163"/>
    <w:qFormat/>
    <w:rPr>
      <w:rFonts w:ascii="Verdana" w:hAnsi="Verdana" w:cs="OpenSymbol"/>
      <w:sz w:val="20"/>
    </w:rPr>
  </w:style>
  <w:style w:type="character" w:styleId="ListLabel164" w:customStyle="1">
    <w:name w:val="ListLabel 164"/>
    <w:qFormat/>
    <w:rPr>
      <w:rFonts w:cs="OpenSymbol"/>
    </w:rPr>
  </w:style>
  <w:style w:type="character" w:styleId="ListLabel165" w:customStyle="1">
    <w:name w:val="ListLabel 165"/>
    <w:qFormat/>
    <w:rPr>
      <w:rFonts w:cs="OpenSymbol"/>
    </w:rPr>
  </w:style>
  <w:style w:type="character" w:styleId="ListLabel166" w:customStyle="1">
    <w:name w:val="ListLabel 166"/>
    <w:qFormat/>
    <w:rPr>
      <w:rFonts w:cs="OpenSymbol"/>
    </w:rPr>
  </w:style>
  <w:style w:type="character" w:styleId="ListLabel167" w:customStyle="1">
    <w:name w:val="ListLabel 167"/>
    <w:qFormat/>
    <w:rPr>
      <w:rFonts w:cs="OpenSymbol"/>
    </w:rPr>
  </w:style>
  <w:style w:type="character" w:styleId="ListLabel168" w:customStyle="1">
    <w:name w:val="ListLabel 168"/>
    <w:qFormat/>
    <w:rPr>
      <w:rFonts w:cs="OpenSymbol"/>
    </w:rPr>
  </w:style>
  <w:style w:type="character" w:styleId="ListLabel169" w:customStyle="1">
    <w:name w:val="ListLabel 169"/>
    <w:qFormat/>
    <w:rPr>
      <w:rFonts w:cs="OpenSymbol"/>
    </w:rPr>
  </w:style>
  <w:style w:type="character" w:styleId="ListLabel170" w:customStyle="1">
    <w:name w:val="ListLabel 170"/>
    <w:qFormat/>
    <w:rPr>
      <w:rFonts w:cs="OpenSymbol"/>
    </w:rPr>
  </w:style>
  <w:style w:type="character" w:styleId="ListLabel171" w:customStyle="1">
    <w:name w:val="ListLabel 171"/>
    <w:qFormat/>
    <w:rPr>
      <w:rFonts w:cs="OpenSymbol"/>
    </w:rPr>
  </w:style>
  <w:style w:type="character" w:styleId="ListLabel172" w:customStyle="1">
    <w:name w:val="ListLabel 172"/>
    <w:qFormat/>
    <w:rPr>
      <w:rFonts w:cs="Times New Roman"/>
      <w:sz w:val="20"/>
    </w:rPr>
  </w:style>
  <w:style w:type="character" w:styleId="ListLabel173" w:customStyle="1">
    <w:name w:val="ListLabel 173"/>
    <w:qFormat/>
    <w:rPr>
      <w:rFonts w:cs="Courier New"/>
    </w:rPr>
  </w:style>
  <w:style w:type="character" w:styleId="ListLabel174" w:customStyle="1">
    <w:name w:val="ListLabel 174"/>
    <w:qFormat/>
    <w:rPr>
      <w:rFonts w:cs="Wingdings"/>
    </w:rPr>
  </w:style>
  <w:style w:type="character" w:styleId="ListLabel175" w:customStyle="1">
    <w:name w:val="ListLabel 175"/>
    <w:qFormat/>
    <w:rPr>
      <w:rFonts w:cs="Symbol"/>
    </w:rPr>
  </w:style>
  <w:style w:type="character" w:styleId="ListLabel176" w:customStyle="1">
    <w:name w:val="ListLabel 176"/>
    <w:qFormat/>
    <w:rPr>
      <w:rFonts w:cs="Courier New"/>
    </w:rPr>
  </w:style>
  <w:style w:type="character" w:styleId="ListLabel177" w:customStyle="1">
    <w:name w:val="ListLabel 177"/>
    <w:qFormat/>
    <w:rPr>
      <w:rFonts w:cs="Wingdings"/>
    </w:rPr>
  </w:style>
  <w:style w:type="character" w:styleId="ListLabel178" w:customStyle="1">
    <w:name w:val="ListLabel 178"/>
    <w:qFormat/>
    <w:rPr>
      <w:rFonts w:cs="Symbol"/>
    </w:rPr>
  </w:style>
  <w:style w:type="character" w:styleId="ListLabel179" w:customStyle="1">
    <w:name w:val="ListLabel 179"/>
    <w:qFormat/>
    <w:rPr>
      <w:rFonts w:cs="Courier New"/>
    </w:rPr>
  </w:style>
  <w:style w:type="character" w:styleId="ListLabel180" w:customStyle="1">
    <w:name w:val="ListLabel 180"/>
    <w:qFormat/>
    <w:rPr>
      <w:rFonts w:cs="Wingdings"/>
    </w:rPr>
  </w:style>
  <w:style w:type="character" w:styleId="ListLabel181" w:customStyle="1">
    <w:name w:val="ListLabel 181"/>
    <w:qFormat/>
    <w:rPr>
      <w:rFonts w:ascii="Verdana" w:hAnsi="Verdana" w:cs="OpenSymbol"/>
      <w:sz w:val="20"/>
    </w:rPr>
  </w:style>
  <w:style w:type="character" w:styleId="ListLabel182" w:customStyle="1">
    <w:name w:val="ListLabel 182"/>
    <w:qFormat/>
    <w:rPr>
      <w:rFonts w:cs="Courier New"/>
    </w:rPr>
  </w:style>
  <w:style w:type="character" w:styleId="ListLabel183" w:customStyle="1">
    <w:name w:val="ListLabel 183"/>
    <w:qFormat/>
    <w:rPr>
      <w:rFonts w:cs="Wingdings"/>
    </w:rPr>
  </w:style>
  <w:style w:type="character" w:styleId="ListLabel184" w:customStyle="1">
    <w:name w:val="ListLabel 184"/>
    <w:qFormat/>
    <w:rPr>
      <w:rFonts w:cs="Symbol"/>
    </w:rPr>
  </w:style>
  <w:style w:type="character" w:styleId="ListLabel185" w:customStyle="1">
    <w:name w:val="ListLabel 185"/>
    <w:qFormat/>
    <w:rPr>
      <w:rFonts w:cs="Courier New"/>
    </w:rPr>
  </w:style>
  <w:style w:type="character" w:styleId="ListLabel186" w:customStyle="1">
    <w:name w:val="ListLabel 186"/>
    <w:qFormat/>
    <w:rPr>
      <w:rFonts w:cs="Wingdings"/>
    </w:rPr>
  </w:style>
  <w:style w:type="character" w:styleId="ListLabel187" w:customStyle="1">
    <w:name w:val="ListLabel 187"/>
    <w:qFormat/>
    <w:rPr>
      <w:rFonts w:cs="Symbol"/>
    </w:rPr>
  </w:style>
  <w:style w:type="character" w:styleId="ListLabel188" w:customStyle="1">
    <w:name w:val="ListLabel 188"/>
    <w:qFormat/>
    <w:rPr>
      <w:rFonts w:cs="Courier New"/>
    </w:rPr>
  </w:style>
  <w:style w:type="character" w:styleId="ListLabel189" w:customStyle="1">
    <w:name w:val="ListLabel 189"/>
    <w:qFormat/>
    <w:rPr>
      <w:rFonts w:cs="Wingdings"/>
    </w:rPr>
  </w:style>
  <w:style w:type="character" w:styleId="ListLabel190" w:customStyle="1">
    <w:name w:val="ListLabel 190"/>
    <w:qFormat/>
    <w:rPr>
      <w:rFonts w:cs="Times New Roman"/>
      <w:sz w:val="20"/>
    </w:rPr>
  </w:style>
  <w:style w:type="character" w:styleId="ListLabel191" w:customStyle="1">
    <w:name w:val="ListLabel 191"/>
    <w:qFormat/>
    <w:rPr>
      <w:rFonts w:cs="Courier New"/>
    </w:rPr>
  </w:style>
  <w:style w:type="character" w:styleId="ListLabel192" w:customStyle="1">
    <w:name w:val="ListLabel 192"/>
    <w:qFormat/>
    <w:rPr>
      <w:rFonts w:cs="Wingdings"/>
    </w:rPr>
  </w:style>
  <w:style w:type="character" w:styleId="ListLabel193" w:customStyle="1">
    <w:name w:val="ListLabel 193"/>
    <w:qFormat/>
    <w:rPr>
      <w:rFonts w:cs="Symbol"/>
    </w:rPr>
  </w:style>
  <w:style w:type="character" w:styleId="ListLabel194" w:customStyle="1">
    <w:name w:val="ListLabel 194"/>
    <w:qFormat/>
    <w:rPr>
      <w:rFonts w:cs="Courier New"/>
    </w:rPr>
  </w:style>
  <w:style w:type="character" w:styleId="ListLabel195" w:customStyle="1">
    <w:name w:val="ListLabel 195"/>
    <w:qFormat/>
    <w:rPr>
      <w:rFonts w:cs="Wingdings"/>
    </w:rPr>
  </w:style>
  <w:style w:type="character" w:styleId="ListLabel196" w:customStyle="1">
    <w:name w:val="ListLabel 196"/>
    <w:qFormat/>
    <w:rPr>
      <w:rFonts w:cs="Symbol"/>
    </w:rPr>
  </w:style>
  <w:style w:type="character" w:styleId="ListLabel197" w:customStyle="1">
    <w:name w:val="ListLabel 197"/>
    <w:qFormat/>
    <w:rPr>
      <w:rFonts w:cs="Courier New"/>
    </w:rPr>
  </w:style>
  <w:style w:type="character" w:styleId="ListLabel198" w:customStyle="1">
    <w:name w:val="ListLabel 198"/>
    <w:qFormat/>
    <w:rPr>
      <w:rFonts w:cs="Wingdings"/>
    </w:rPr>
  </w:style>
  <w:style w:type="character" w:styleId="ListLabel199" w:customStyle="1">
    <w:name w:val="ListLabel 199"/>
    <w:qFormat/>
    <w:rPr>
      <w:rFonts w:cs="Symbol"/>
    </w:rPr>
  </w:style>
  <w:style w:type="character" w:styleId="ListLabel200" w:customStyle="1">
    <w:name w:val="ListLabel 200"/>
    <w:qFormat/>
    <w:rPr>
      <w:rFonts w:ascii="Verdana" w:hAnsi="Verdana" w:cs="Times New Roman"/>
      <w:sz w:val="20"/>
    </w:rPr>
  </w:style>
  <w:style w:type="character" w:styleId="ListLabel201" w:customStyle="1">
    <w:name w:val="ListLabel 201"/>
    <w:qFormat/>
    <w:rPr>
      <w:rFonts w:ascii="Verdana" w:hAnsi="Verdana" w:cs="Times New Roman"/>
      <w:sz w:val="16"/>
    </w:rPr>
  </w:style>
  <w:style w:type="character" w:styleId="ListLabel202" w:customStyle="1">
    <w:name w:val="ListLabel 202"/>
    <w:qFormat/>
    <w:rPr>
      <w:rFonts w:cs="Courier New"/>
    </w:rPr>
  </w:style>
  <w:style w:type="character" w:styleId="ListLabel203" w:customStyle="1">
    <w:name w:val="ListLabel 203"/>
    <w:qFormat/>
    <w:rPr>
      <w:rFonts w:cs="Wingdings"/>
    </w:rPr>
  </w:style>
  <w:style w:type="character" w:styleId="ListLabel204" w:customStyle="1">
    <w:name w:val="ListLabel 204"/>
    <w:qFormat/>
    <w:rPr>
      <w:rFonts w:cs="Symbol"/>
    </w:rPr>
  </w:style>
  <w:style w:type="character" w:styleId="ListLabel205" w:customStyle="1">
    <w:name w:val="ListLabel 205"/>
    <w:qFormat/>
    <w:rPr>
      <w:rFonts w:cs="Courier New"/>
    </w:rPr>
  </w:style>
  <w:style w:type="character" w:styleId="ListLabel206" w:customStyle="1">
    <w:name w:val="ListLabel 206"/>
    <w:qFormat/>
    <w:rPr>
      <w:rFonts w:cs="Wingdings"/>
    </w:rPr>
  </w:style>
  <w:style w:type="character" w:styleId="ListLabel207" w:customStyle="1">
    <w:name w:val="ListLabel 207"/>
    <w:qFormat/>
    <w:rPr>
      <w:rFonts w:cs="Symbol"/>
    </w:rPr>
  </w:style>
  <w:style w:type="character" w:styleId="ListLabel208" w:customStyle="1">
    <w:name w:val="ListLabel 208"/>
    <w:qFormat/>
    <w:rPr>
      <w:rFonts w:cs="Courier New"/>
    </w:rPr>
  </w:style>
  <w:style w:type="character" w:styleId="ListLabel209" w:customStyle="1">
    <w:name w:val="ListLabel 209"/>
    <w:qFormat/>
    <w:rPr>
      <w:rFonts w:cs="Wingdings"/>
    </w:rPr>
  </w:style>
  <w:style w:type="character" w:styleId="ListLabel210" w:customStyle="1">
    <w:name w:val="ListLabel 210"/>
    <w:qFormat/>
    <w:rPr>
      <w:rFonts w:ascii="Verdana" w:hAnsi="Verdana" w:cs="Symbol"/>
      <w:sz w:val="20"/>
    </w:rPr>
  </w:style>
  <w:style w:type="character" w:styleId="ListLabel211" w:customStyle="1">
    <w:name w:val="ListLabel 211"/>
    <w:qFormat/>
    <w:rPr>
      <w:rFonts w:cs="Courier New"/>
    </w:rPr>
  </w:style>
  <w:style w:type="character" w:styleId="ListLabel212" w:customStyle="1">
    <w:name w:val="ListLabel 212"/>
    <w:qFormat/>
    <w:rPr>
      <w:rFonts w:cs="Wingdings"/>
    </w:rPr>
  </w:style>
  <w:style w:type="character" w:styleId="ListLabel213" w:customStyle="1">
    <w:name w:val="ListLabel 213"/>
    <w:qFormat/>
    <w:rPr>
      <w:rFonts w:cs="Symbol"/>
    </w:rPr>
  </w:style>
  <w:style w:type="character" w:styleId="ListLabel214" w:customStyle="1">
    <w:name w:val="ListLabel 214"/>
    <w:qFormat/>
    <w:rPr>
      <w:rFonts w:cs="Courier New"/>
    </w:rPr>
  </w:style>
  <w:style w:type="character" w:styleId="ListLabel215" w:customStyle="1">
    <w:name w:val="ListLabel 215"/>
    <w:qFormat/>
    <w:rPr>
      <w:rFonts w:cs="Wingdings"/>
    </w:rPr>
  </w:style>
  <w:style w:type="character" w:styleId="ListLabel216" w:customStyle="1">
    <w:name w:val="ListLabel 216"/>
    <w:qFormat/>
    <w:rPr>
      <w:rFonts w:cs="Symbol"/>
    </w:rPr>
  </w:style>
  <w:style w:type="character" w:styleId="ListLabel217" w:customStyle="1">
    <w:name w:val="ListLabel 217"/>
    <w:qFormat/>
    <w:rPr>
      <w:rFonts w:cs="Courier New"/>
    </w:rPr>
  </w:style>
  <w:style w:type="character" w:styleId="ListLabel218" w:customStyle="1">
    <w:name w:val="ListLabel 218"/>
    <w:qFormat/>
    <w:rPr>
      <w:rFonts w:cs="Wingdings"/>
    </w:rPr>
  </w:style>
  <w:style w:type="character" w:styleId="ListLabel219" w:customStyle="1">
    <w:name w:val="ListLabel 219"/>
    <w:qFormat/>
    <w:rPr>
      <w:rFonts w:cs="Lohit Devanagari"/>
      <w:sz w:val="20"/>
    </w:rPr>
  </w:style>
  <w:style w:type="character" w:styleId="ListLabel220" w:customStyle="1">
    <w:name w:val="ListLabel 220"/>
    <w:qFormat/>
    <w:rPr>
      <w:rFonts w:cs="Courier New"/>
      <w:sz w:val="20"/>
    </w:rPr>
  </w:style>
  <w:style w:type="character" w:styleId="ListLabel221" w:customStyle="1">
    <w:name w:val="ListLabel 221"/>
    <w:qFormat/>
    <w:rPr>
      <w:rFonts w:cs="Wingdings"/>
    </w:rPr>
  </w:style>
  <w:style w:type="character" w:styleId="ListLabel222" w:customStyle="1">
    <w:name w:val="ListLabel 222"/>
    <w:qFormat/>
    <w:rPr>
      <w:rFonts w:cs="Symbol"/>
    </w:rPr>
  </w:style>
  <w:style w:type="character" w:styleId="ListLabel223" w:customStyle="1">
    <w:name w:val="ListLabel 223"/>
    <w:qFormat/>
    <w:rPr>
      <w:rFonts w:cs="Courier New"/>
    </w:rPr>
  </w:style>
  <w:style w:type="character" w:styleId="ListLabel224" w:customStyle="1">
    <w:name w:val="ListLabel 224"/>
    <w:qFormat/>
    <w:rPr>
      <w:rFonts w:cs="Wingdings"/>
    </w:rPr>
  </w:style>
  <w:style w:type="character" w:styleId="ListLabel225" w:customStyle="1">
    <w:name w:val="ListLabel 225"/>
    <w:qFormat/>
    <w:rPr>
      <w:rFonts w:cs="Symbol"/>
    </w:rPr>
  </w:style>
  <w:style w:type="character" w:styleId="ListLabel226" w:customStyle="1">
    <w:name w:val="ListLabel 226"/>
    <w:qFormat/>
    <w:rPr>
      <w:rFonts w:cs="Courier New"/>
    </w:rPr>
  </w:style>
  <w:style w:type="character" w:styleId="ListLabel227" w:customStyle="1">
    <w:name w:val="ListLabel 227"/>
    <w:qFormat/>
    <w:rPr>
      <w:rFonts w:cs="Wingdings"/>
    </w:rPr>
  </w:style>
  <w:style w:type="character" w:styleId="ListLabel228" w:customStyle="1">
    <w:name w:val="ListLabel 228"/>
    <w:qFormat/>
    <w:rPr>
      <w:rFonts w:cs="OpenSymbol"/>
    </w:rPr>
  </w:style>
  <w:style w:type="character" w:styleId="ListLabel229" w:customStyle="1">
    <w:name w:val="ListLabel 229"/>
    <w:qFormat/>
    <w:rPr>
      <w:rFonts w:cs="OpenSymbol"/>
    </w:rPr>
  </w:style>
  <w:style w:type="character" w:styleId="ListLabel230" w:customStyle="1">
    <w:name w:val="ListLabel 230"/>
    <w:qFormat/>
    <w:rPr>
      <w:rFonts w:cs="OpenSymbol"/>
    </w:rPr>
  </w:style>
  <w:style w:type="character" w:styleId="ListLabel231" w:customStyle="1">
    <w:name w:val="ListLabel 231"/>
    <w:qFormat/>
    <w:rPr>
      <w:rFonts w:cs="OpenSymbol"/>
    </w:rPr>
  </w:style>
  <w:style w:type="character" w:styleId="ListLabel232" w:customStyle="1">
    <w:name w:val="ListLabel 232"/>
    <w:qFormat/>
    <w:rPr>
      <w:rFonts w:cs="OpenSymbol"/>
    </w:rPr>
  </w:style>
  <w:style w:type="character" w:styleId="ListLabel233" w:customStyle="1">
    <w:name w:val="ListLabel 233"/>
    <w:qFormat/>
    <w:rPr>
      <w:rFonts w:cs="OpenSymbol"/>
    </w:rPr>
  </w:style>
  <w:style w:type="character" w:styleId="ListLabel234" w:customStyle="1">
    <w:name w:val="ListLabel 234"/>
    <w:qFormat/>
    <w:rPr>
      <w:rFonts w:cs="OpenSymbol"/>
    </w:rPr>
  </w:style>
  <w:style w:type="character" w:styleId="ListLabel235" w:customStyle="1">
    <w:name w:val="ListLabel 235"/>
    <w:qFormat/>
    <w:rPr>
      <w:rFonts w:cs="OpenSymbol"/>
    </w:rPr>
  </w:style>
  <w:style w:type="character" w:styleId="ListLabel236" w:customStyle="1">
    <w:name w:val="ListLabel 236"/>
    <w:qFormat/>
    <w:rPr>
      <w:rFonts w:cs="OpenSymbol"/>
    </w:rPr>
  </w:style>
  <w:style w:type="character" w:styleId="ListLabel237" w:customStyle="1">
    <w:name w:val="ListLabel 237"/>
    <w:qFormat/>
    <w:rPr>
      <w:rFonts w:cs="OpenSymbol"/>
    </w:rPr>
  </w:style>
  <w:style w:type="character" w:styleId="ListLabel238" w:customStyle="1">
    <w:name w:val="ListLabel 238"/>
    <w:qFormat/>
    <w:rPr>
      <w:rFonts w:cs="OpenSymbol"/>
    </w:rPr>
  </w:style>
  <w:style w:type="character" w:styleId="ListLabel239" w:customStyle="1">
    <w:name w:val="ListLabel 239"/>
    <w:qFormat/>
    <w:rPr>
      <w:rFonts w:cs="OpenSymbol"/>
    </w:rPr>
  </w:style>
  <w:style w:type="character" w:styleId="ListLabel240" w:customStyle="1">
    <w:name w:val="ListLabel 240"/>
    <w:qFormat/>
    <w:rPr>
      <w:rFonts w:cs="OpenSymbol"/>
    </w:rPr>
  </w:style>
  <w:style w:type="character" w:styleId="ListLabel241" w:customStyle="1">
    <w:name w:val="ListLabel 241"/>
    <w:qFormat/>
    <w:rPr>
      <w:rFonts w:cs="OpenSymbol"/>
    </w:rPr>
  </w:style>
  <w:style w:type="character" w:styleId="ListLabel242" w:customStyle="1">
    <w:name w:val="ListLabel 242"/>
    <w:qFormat/>
    <w:rPr>
      <w:rFonts w:cs="OpenSymbol"/>
    </w:rPr>
  </w:style>
  <w:style w:type="character" w:styleId="ListLabel243" w:customStyle="1">
    <w:name w:val="ListLabel 243"/>
    <w:qFormat/>
    <w:rPr>
      <w:rFonts w:cs="OpenSymbol"/>
    </w:rPr>
  </w:style>
  <w:style w:type="character" w:styleId="ListLabel244" w:customStyle="1">
    <w:name w:val="ListLabel 244"/>
    <w:qFormat/>
    <w:rPr>
      <w:rFonts w:cs="OpenSymbol"/>
    </w:rPr>
  </w:style>
  <w:style w:type="character" w:styleId="ListLabel245" w:customStyle="1">
    <w:name w:val="ListLabel 245"/>
    <w:qFormat/>
    <w:rPr>
      <w:rFonts w:cs="OpenSymbol"/>
    </w:rPr>
  </w:style>
  <w:style w:type="character" w:styleId="ListLabel246" w:customStyle="1">
    <w:name w:val="ListLabel 246"/>
    <w:qFormat/>
    <w:rPr>
      <w:rFonts w:cs="OpenSymbol"/>
    </w:rPr>
  </w:style>
  <w:style w:type="character" w:styleId="ListLabel247" w:customStyle="1">
    <w:name w:val="ListLabel 247"/>
    <w:qFormat/>
    <w:rPr>
      <w:rFonts w:cs="OpenSymbol"/>
    </w:rPr>
  </w:style>
  <w:style w:type="character" w:styleId="ListLabel248" w:customStyle="1">
    <w:name w:val="ListLabel 248"/>
    <w:qFormat/>
    <w:rPr>
      <w:rFonts w:cs="OpenSymbol"/>
    </w:rPr>
  </w:style>
  <w:style w:type="character" w:styleId="ListLabel249" w:customStyle="1">
    <w:name w:val="ListLabel 249"/>
    <w:qFormat/>
    <w:rPr>
      <w:rFonts w:cs="OpenSymbol"/>
    </w:rPr>
  </w:style>
  <w:style w:type="character" w:styleId="ListLabel250" w:customStyle="1">
    <w:name w:val="ListLabel 250"/>
    <w:qFormat/>
    <w:rPr>
      <w:rFonts w:cs="OpenSymbol"/>
    </w:rPr>
  </w:style>
  <w:style w:type="character" w:styleId="ListLabel251" w:customStyle="1">
    <w:name w:val="ListLabel 251"/>
    <w:qFormat/>
    <w:rPr>
      <w:rFonts w:cs="OpenSymbol"/>
    </w:rPr>
  </w:style>
  <w:style w:type="character" w:styleId="ListLabel252" w:customStyle="1">
    <w:name w:val="ListLabel 252"/>
    <w:qFormat/>
    <w:rPr>
      <w:rFonts w:cs="OpenSymbol"/>
    </w:rPr>
  </w:style>
  <w:style w:type="character" w:styleId="ListLabel253" w:customStyle="1">
    <w:name w:val="ListLabel 253"/>
    <w:qFormat/>
    <w:rPr>
      <w:rFonts w:cs="OpenSymbol"/>
    </w:rPr>
  </w:style>
  <w:style w:type="character" w:styleId="ListLabel254" w:customStyle="1">
    <w:name w:val="ListLabel 254"/>
    <w:qFormat/>
    <w:rPr>
      <w:rFonts w:cs="OpenSymbol"/>
    </w:rPr>
  </w:style>
  <w:style w:type="character" w:styleId="ListLabel255" w:customStyle="1">
    <w:name w:val="ListLabel 255"/>
    <w:qFormat/>
    <w:rPr>
      <w:rFonts w:cs="OpenSymbol"/>
    </w:rPr>
  </w:style>
  <w:style w:type="character" w:styleId="ListLabel256" w:customStyle="1">
    <w:name w:val="ListLabel 256"/>
    <w:qFormat/>
    <w:rPr>
      <w:rFonts w:cs="OpenSymbol"/>
    </w:rPr>
  </w:style>
  <w:style w:type="character" w:styleId="ListLabel257" w:customStyle="1">
    <w:name w:val="ListLabel 257"/>
    <w:qFormat/>
    <w:rPr>
      <w:rFonts w:cs="OpenSymbol"/>
    </w:rPr>
  </w:style>
  <w:style w:type="character" w:styleId="ListLabel258" w:customStyle="1">
    <w:name w:val="ListLabel 258"/>
    <w:qFormat/>
    <w:rPr>
      <w:rFonts w:cs="OpenSymbol"/>
    </w:rPr>
  </w:style>
  <w:style w:type="character" w:styleId="ListLabel259" w:customStyle="1">
    <w:name w:val="ListLabel 259"/>
    <w:qFormat/>
    <w:rPr>
      <w:rFonts w:cs="OpenSymbol"/>
    </w:rPr>
  </w:style>
  <w:style w:type="character" w:styleId="ListLabel260" w:customStyle="1">
    <w:name w:val="ListLabel 260"/>
    <w:qFormat/>
    <w:rPr>
      <w:rFonts w:cs="OpenSymbol"/>
    </w:rPr>
  </w:style>
  <w:style w:type="character" w:styleId="ListLabel261" w:customStyle="1">
    <w:name w:val="ListLabel 261"/>
    <w:qFormat/>
    <w:rPr>
      <w:rFonts w:cs="OpenSymbol"/>
    </w:rPr>
  </w:style>
  <w:style w:type="character" w:styleId="ListLabel262" w:customStyle="1">
    <w:name w:val="ListLabel 262"/>
    <w:qFormat/>
    <w:rPr>
      <w:rFonts w:cs="OpenSymbol"/>
    </w:rPr>
  </w:style>
  <w:style w:type="character" w:styleId="ListLabel263" w:customStyle="1">
    <w:name w:val="ListLabel 263"/>
    <w:qFormat/>
    <w:rPr>
      <w:rFonts w:cs="OpenSymbol"/>
    </w:rPr>
  </w:style>
  <w:style w:type="character" w:styleId="ListLabel264" w:customStyle="1">
    <w:name w:val="ListLabel 264"/>
    <w:qFormat/>
    <w:rPr>
      <w:rFonts w:ascii="Verdana" w:hAnsi="Verdana"/>
      <w:sz w:val="20"/>
      <w:szCs w:val="20"/>
    </w:rPr>
  </w:style>
  <w:style w:type="character" w:styleId="ListLabel265" w:customStyle="1">
    <w:name w:val="ListLabel 265"/>
    <w:qFormat/>
    <w:rPr>
      <w:rFonts w:ascii="Verdana" w:hAnsi="Verdana"/>
      <w:sz w:val="20"/>
      <w:szCs w:val="20"/>
      <w:u w:val="none"/>
    </w:rPr>
  </w:style>
  <w:style w:type="character" w:styleId="ListLabel266" w:customStyle="1">
    <w:name w:val="ListLabel 266"/>
    <w:qFormat/>
    <w:rPr>
      <w:rFonts w:ascii="Verdana" w:hAnsi="Verdana"/>
      <w:sz w:val="20"/>
      <w:szCs w:val="20"/>
    </w:rPr>
  </w:style>
  <w:style w:type="character" w:styleId="ListLabel267" w:customStyle="1">
    <w:name w:val="ListLabel 267"/>
    <w:qFormat/>
    <w:rPr>
      <w:sz w:val="20"/>
      <w:szCs w:val="20"/>
      <w:u w:val="none"/>
    </w:rPr>
  </w:style>
  <w:style w:type="character" w:styleId="ListLabel268" w:customStyle="1">
    <w:name w:val="ListLabel 268"/>
    <w:qFormat/>
    <w:rPr>
      <w:rFonts w:ascii="Verdana" w:hAnsi="Verdana"/>
      <w:color w:val="000000"/>
      <w:sz w:val="20"/>
      <w:szCs w:val="20"/>
    </w:rPr>
  </w:style>
  <w:style w:type="character" w:styleId="OnderwerpvanopmerkingChar" w:customStyle="1">
    <w:name w:val="Onderwerp van opmerking Char"/>
    <w:basedOn w:val="TekstopmerkingChar"/>
    <w:qFormat/>
    <w:rPr>
      <w:rFonts w:ascii="Verdana" w:hAnsi="Verdana" w:cs="Mangal"/>
      <w:b/>
      <w:bCs/>
      <w:sz w:val="20"/>
      <w:szCs w:val="18"/>
    </w:rPr>
  </w:style>
  <w:style w:type="character" w:styleId="ListLabel269" w:customStyle="1">
    <w:name w:val="ListLabel 269"/>
    <w:qFormat/>
    <w:rPr>
      <w:rFonts w:cs="OpenSymbol"/>
      <w:sz w:val="20"/>
    </w:rPr>
  </w:style>
  <w:style w:type="character" w:styleId="ListLabel270" w:customStyle="1">
    <w:name w:val="ListLabel 270"/>
    <w:qFormat/>
    <w:rPr>
      <w:rFonts w:cs="OpenSymbol;Arial Unicode MS"/>
      <w:lang w:val="nl-NL"/>
    </w:rPr>
  </w:style>
  <w:style w:type="character" w:styleId="ListLabel271" w:customStyle="1">
    <w:name w:val="ListLabel 271"/>
    <w:qFormat/>
    <w:rPr>
      <w:rFonts w:cs="OpenSymbol;Arial Unicode MS"/>
      <w:lang w:val="nl-NL"/>
    </w:rPr>
  </w:style>
  <w:style w:type="character" w:styleId="ListLabel272" w:customStyle="1">
    <w:name w:val="ListLabel 272"/>
    <w:qFormat/>
    <w:rPr>
      <w:rFonts w:cs="OpenSymbol;Arial Unicode MS"/>
      <w:lang w:val="nl-NL"/>
    </w:rPr>
  </w:style>
  <w:style w:type="character" w:styleId="ListLabel273" w:customStyle="1">
    <w:name w:val="ListLabel 273"/>
    <w:qFormat/>
    <w:rPr>
      <w:rFonts w:cs="OpenSymbol;Arial Unicode MS"/>
      <w:lang w:val="nl-NL"/>
    </w:rPr>
  </w:style>
  <w:style w:type="character" w:styleId="ListLabel274" w:customStyle="1">
    <w:name w:val="ListLabel 274"/>
    <w:qFormat/>
    <w:rPr>
      <w:rFonts w:cs="OpenSymbol;Arial Unicode MS"/>
      <w:lang w:val="nl-NL"/>
    </w:rPr>
  </w:style>
  <w:style w:type="character" w:styleId="ListLabel275" w:customStyle="1">
    <w:name w:val="ListLabel 275"/>
    <w:qFormat/>
    <w:rPr>
      <w:rFonts w:cs="OpenSymbol;Arial Unicode MS"/>
      <w:lang w:val="nl-NL"/>
    </w:rPr>
  </w:style>
  <w:style w:type="character" w:styleId="ListLabel276" w:customStyle="1">
    <w:name w:val="ListLabel 276"/>
    <w:qFormat/>
    <w:rPr>
      <w:rFonts w:cs="OpenSymbol;Arial Unicode MS"/>
      <w:lang w:val="nl-NL"/>
    </w:rPr>
  </w:style>
  <w:style w:type="character" w:styleId="ListLabel277" w:customStyle="1">
    <w:name w:val="ListLabel 277"/>
    <w:qFormat/>
    <w:rPr>
      <w:rFonts w:cs="OpenSymbol;Arial Unicode MS"/>
      <w:lang w:val="nl-NL"/>
    </w:rPr>
  </w:style>
  <w:style w:type="character" w:styleId="ListLabel278" w:customStyle="1">
    <w:name w:val="ListLabel 278"/>
    <w:qFormat/>
    <w:rPr>
      <w:rFonts w:cs="OpenSymbol"/>
      <w:sz w:val="20"/>
    </w:rPr>
  </w:style>
  <w:style w:type="character" w:styleId="ListLabel279" w:customStyle="1">
    <w:name w:val="ListLabel 279"/>
    <w:qFormat/>
    <w:rPr>
      <w:rFonts w:cs="OpenSymbol"/>
    </w:rPr>
  </w:style>
  <w:style w:type="character" w:styleId="ListLabel280" w:customStyle="1">
    <w:name w:val="ListLabel 280"/>
    <w:qFormat/>
    <w:rPr>
      <w:rFonts w:cs="OpenSymbol"/>
    </w:rPr>
  </w:style>
  <w:style w:type="character" w:styleId="ListLabel281" w:customStyle="1">
    <w:name w:val="ListLabel 281"/>
    <w:qFormat/>
    <w:rPr>
      <w:rFonts w:cs="OpenSymbol"/>
    </w:rPr>
  </w:style>
  <w:style w:type="character" w:styleId="ListLabel282" w:customStyle="1">
    <w:name w:val="ListLabel 282"/>
    <w:qFormat/>
    <w:rPr>
      <w:rFonts w:cs="OpenSymbol"/>
    </w:rPr>
  </w:style>
  <w:style w:type="character" w:styleId="ListLabel283" w:customStyle="1">
    <w:name w:val="ListLabel 283"/>
    <w:qFormat/>
    <w:rPr>
      <w:rFonts w:cs="OpenSymbol"/>
    </w:rPr>
  </w:style>
  <w:style w:type="character" w:styleId="ListLabel284" w:customStyle="1">
    <w:name w:val="ListLabel 284"/>
    <w:qFormat/>
    <w:rPr>
      <w:rFonts w:cs="OpenSymbol"/>
    </w:rPr>
  </w:style>
  <w:style w:type="character" w:styleId="ListLabel285" w:customStyle="1">
    <w:name w:val="ListLabel 285"/>
    <w:qFormat/>
    <w:rPr>
      <w:rFonts w:cs="OpenSymbol"/>
    </w:rPr>
  </w:style>
  <w:style w:type="character" w:styleId="ListLabel286" w:customStyle="1">
    <w:name w:val="ListLabel 286"/>
    <w:qFormat/>
    <w:rPr>
      <w:rFonts w:cs="OpenSymbol"/>
    </w:rPr>
  </w:style>
  <w:style w:type="character" w:styleId="ListLabel287" w:customStyle="1">
    <w:name w:val="ListLabel 287"/>
    <w:qFormat/>
    <w:rPr>
      <w:rFonts w:cs="OpenSymbol"/>
      <w:sz w:val="20"/>
    </w:rPr>
  </w:style>
  <w:style w:type="character" w:styleId="ListLabel288" w:customStyle="1">
    <w:name w:val="ListLabel 288"/>
    <w:qFormat/>
    <w:rPr>
      <w:rFonts w:cs="OpenSymbol"/>
    </w:rPr>
  </w:style>
  <w:style w:type="character" w:styleId="ListLabel289" w:customStyle="1">
    <w:name w:val="ListLabel 289"/>
    <w:qFormat/>
    <w:rPr>
      <w:rFonts w:cs="OpenSymbol"/>
    </w:rPr>
  </w:style>
  <w:style w:type="character" w:styleId="ListLabel290" w:customStyle="1">
    <w:name w:val="ListLabel 290"/>
    <w:qFormat/>
    <w:rPr>
      <w:rFonts w:cs="OpenSymbol"/>
    </w:rPr>
  </w:style>
  <w:style w:type="character" w:styleId="ListLabel291" w:customStyle="1">
    <w:name w:val="ListLabel 291"/>
    <w:qFormat/>
    <w:rPr>
      <w:rFonts w:cs="OpenSymbol"/>
    </w:rPr>
  </w:style>
  <w:style w:type="character" w:styleId="ListLabel292" w:customStyle="1">
    <w:name w:val="ListLabel 292"/>
    <w:qFormat/>
    <w:rPr>
      <w:rFonts w:cs="OpenSymbol"/>
    </w:rPr>
  </w:style>
  <w:style w:type="character" w:styleId="ListLabel293" w:customStyle="1">
    <w:name w:val="ListLabel 293"/>
    <w:qFormat/>
    <w:rPr>
      <w:rFonts w:cs="OpenSymbol"/>
    </w:rPr>
  </w:style>
  <w:style w:type="character" w:styleId="ListLabel294" w:customStyle="1">
    <w:name w:val="ListLabel 294"/>
    <w:qFormat/>
    <w:rPr>
      <w:rFonts w:cs="OpenSymbol"/>
    </w:rPr>
  </w:style>
  <w:style w:type="character" w:styleId="ListLabel295" w:customStyle="1">
    <w:name w:val="ListLabel 295"/>
    <w:qFormat/>
    <w:rPr>
      <w:rFonts w:cs="OpenSymbol"/>
    </w:rPr>
  </w:style>
  <w:style w:type="character" w:styleId="ListLabel296" w:customStyle="1">
    <w:name w:val="ListLabel 296"/>
    <w:qFormat/>
    <w:rPr>
      <w:rFonts w:cs="OpenSymbol"/>
      <w:sz w:val="20"/>
    </w:rPr>
  </w:style>
  <w:style w:type="character" w:styleId="ListLabel297" w:customStyle="1">
    <w:name w:val="ListLabel 297"/>
    <w:qFormat/>
    <w:rPr>
      <w:rFonts w:cs="OpenSymbol"/>
    </w:rPr>
  </w:style>
  <w:style w:type="character" w:styleId="ListLabel298" w:customStyle="1">
    <w:name w:val="ListLabel 298"/>
    <w:qFormat/>
    <w:rPr>
      <w:rFonts w:cs="OpenSymbol"/>
    </w:rPr>
  </w:style>
  <w:style w:type="character" w:styleId="ListLabel299" w:customStyle="1">
    <w:name w:val="ListLabel 299"/>
    <w:qFormat/>
    <w:rPr>
      <w:rFonts w:cs="OpenSymbol"/>
    </w:rPr>
  </w:style>
  <w:style w:type="character" w:styleId="ListLabel300" w:customStyle="1">
    <w:name w:val="ListLabel 300"/>
    <w:qFormat/>
    <w:rPr>
      <w:rFonts w:cs="OpenSymbol"/>
    </w:rPr>
  </w:style>
  <w:style w:type="character" w:styleId="ListLabel301" w:customStyle="1">
    <w:name w:val="ListLabel 301"/>
    <w:qFormat/>
    <w:rPr>
      <w:rFonts w:cs="OpenSymbol"/>
    </w:rPr>
  </w:style>
  <w:style w:type="character" w:styleId="ListLabel302" w:customStyle="1">
    <w:name w:val="ListLabel 302"/>
    <w:qFormat/>
    <w:rPr>
      <w:rFonts w:cs="OpenSymbol"/>
    </w:rPr>
  </w:style>
  <w:style w:type="character" w:styleId="ListLabel303" w:customStyle="1">
    <w:name w:val="ListLabel 303"/>
    <w:qFormat/>
    <w:rPr>
      <w:rFonts w:cs="OpenSymbol"/>
    </w:rPr>
  </w:style>
  <w:style w:type="character" w:styleId="ListLabel304" w:customStyle="1">
    <w:name w:val="ListLabel 304"/>
    <w:qFormat/>
    <w:rPr>
      <w:rFonts w:cs="OpenSymbol"/>
    </w:rPr>
  </w:style>
  <w:style w:type="character" w:styleId="ListLabel305" w:customStyle="1">
    <w:name w:val="ListLabel 305"/>
    <w:qFormat/>
    <w:rPr>
      <w:rFonts w:cs="OpenSymbol"/>
      <w:sz w:val="20"/>
    </w:rPr>
  </w:style>
  <w:style w:type="character" w:styleId="ListLabel306" w:customStyle="1">
    <w:name w:val="ListLabel 306"/>
    <w:qFormat/>
    <w:rPr>
      <w:rFonts w:cs="OpenSymbol"/>
    </w:rPr>
  </w:style>
  <w:style w:type="character" w:styleId="ListLabel307" w:customStyle="1">
    <w:name w:val="ListLabel 307"/>
    <w:qFormat/>
    <w:rPr>
      <w:rFonts w:cs="OpenSymbol"/>
    </w:rPr>
  </w:style>
  <w:style w:type="character" w:styleId="ListLabel308" w:customStyle="1">
    <w:name w:val="ListLabel 308"/>
    <w:qFormat/>
    <w:rPr>
      <w:rFonts w:cs="OpenSymbol"/>
    </w:rPr>
  </w:style>
  <w:style w:type="character" w:styleId="ListLabel309" w:customStyle="1">
    <w:name w:val="ListLabel 309"/>
    <w:qFormat/>
    <w:rPr>
      <w:rFonts w:cs="OpenSymbol"/>
    </w:rPr>
  </w:style>
  <w:style w:type="character" w:styleId="ListLabel310" w:customStyle="1">
    <w:name w:val="ListLabel 310"/>
    <w:qFormat/>
    <w:rPr>
      <w:rFonts w:cs="OpenSymbol"/>
    </w:rPr>
  </w:style>
  <w:style w:type="character" w:styleId="ListLabel311" w:customStyle="1">
    <w:name w:val="ListLabel 311"/>
    <w:qFormat/>
    <w:rPr>
      <w:rFonts w:cs="OpenSymbol"/>
    </w:rPr>
  </w:style>
  <w:style w:type="character" w:styleId="ListLabel312" w:customStyle="1">
    <w:name w:val="ListLabel 312"/>
    <w:qFormat/>
    <w:rPr>
      <w:rFonts w:cs="OpenSymbol"/>
    </w:rPr>
  </w:style>
  <w:style w:type="character" w:styleId="ListLabel313" w:customStyle="1">
    <w:name w:val="ListLabel 313"/>
    <w:qFormat/>
    <w:rPr>
      <w:rFonts w:cs="OpenSymbol"/>
    </w:rPr>
  </w:style>
  <w:style w:type="character" w:styleId="ListLabel314" w:customStyle="1">
    <w:name w:val="ListLabel 314"/>
    <w:qFormat/>
    <w:rPr>
      <w:rFonts w:cs="OpenSymbol"/>
      <w:sz w:val="20"/>
    </w:rPr>
  </w:style>
  <w:style w:type="character" w:styleId="ListLabel315" w:customStyle="1">
    <w:name w:val="ListLabel 315"/>
    <w:qFormat/>
    <w:rPr>
      <w:rFonts w:cs="OpenSymbol"/>
    </w:rPr>
  </w:style>
  <w:style w:type="character" w:styleId="ListLabel316" w:customStyle="1">
    <w:name w:val="ListLabel 316"/>
    <w:qFormat/>
    <w:rPr>
      <w:rFonts w:cs="OpenSymbol"/>
    </w:rPr>
  </w:style>
  <w:style w:type="character" w:styleId="ListLabel317" w:customStyle="1">
    <w:name w:val="ListLabel 317"/>
    <w:qFormat/>
    <w:rPr>
      <w:rFonts w:cs="OpenSymbol"/>
    </w:rPr>
  </w:style>
  <w:style w:type="character" w:styleId="ListLabel318" w:customStyle="1">
    <w:name w:val="ListLabel 318"/>
    <w:qFormat/>
    <w:rPr>
      <w:rFonts w:cs="OpenSymbol"/>
    </w:rPr>
  </w:style>
  <w:style w:type="character" w:styleId="ListLabel319" w:customStyle="1">
    <w:name w:val="ListLabel 319"/>
    <w:qFormat/>
    <w:rPr>
      <w:rFonts w:cs="OpenSymbol"/>
    </w:rPr>
  </w:style>
  <w:style w:type="character" w:styleId="ListLabel320" w:customStyle="1">
    <w:name w:val="ListLabel 320"/>
    <w:qFormat/>
    <w:rPr>
      <w:rFonts w:cs="OpenSymbol"/>
    </w:rPr>
  </w:style>
  <w:style w:type="character" w:styleId="ListLabel321" w:customStyle="1">
    <w:name w:val="ListLabel 321"/>
    <w:qFormat/>
    <w:rPr>
      <w:rFonts w:cs="OpenSymbol"/>
    </w:rPr>
  </w:style>
  <w:style w:type="character" w:styleId="ListLabel322" w:customStyle="1">
    <w:name w:val="ListLabel 322"/>
    <w:qFormat/>
    <w:rPr>
      <w:rFonts w:cs="OpenSymbol"/>
    </w:rPr>
  </w:style>
  <w:style w:type="character" w:styleId="ListLabel323" w:customStyle="1">
    <w:name w:val="ListLabel 323"/>
    <w:qFormat/>
    <w:rPr>
      <w:rFonts w:cs="OpenSymbol"/>
      <w:sz w:val="20"/>
    </w:rPr>
  </w:style>
  <w:style w:type="character" w:styleId="ListLabel324" w:customStyle="1">
    <w:name w:val="ListLabel 324"/>
    <w:qFormat/>
    <w:rPr>
      <w:rFonts w:cs="OpenSymbol"/>
    </w:rPr>
  </w:style>
  <w:style w:type="character" w:styleId="ListLabel325" w:customStyle="1">
    <w:name w:val="ListLabel 325"/>
    <w:qFormat/>
    <w:rPr>
      <w:rFonts w:cs="OpenSymbol"/>
    </w:rPr>
  </w:style>
  <w:style w:type="character" w:styleId="ListLabel326" w:customStyle="1">
    <w:name w:val="ListLabel 326"/>
    <w:qFormat/>
    <w:rPr>
      <w:rFonts w:cs="OpenSymbol"/>
    </w:rPr>
  </w:style>
  <w:style w:type="character" w:styleId="ListLabel327" w:customStyle="1">
    <w:name w:val="ListLabel 327"/>
    <w:qFormat/>
    <w:rPr>
      <w:rFonts w:cs="OpenSymbol"/>
    </w:rPr>
  </w:style>
  <w:style w:type="character" w:styleId="ListLabel328" w:customStyle="1">
    <w:name w:val="ListLabel 328"/>
    <w:qFormat/>
    <w:rPr>
      <w:rFonts w:cs="OpenSymbol"/>
    </w:rPr>
  </w:style>
  <w:style w:type="character" w:styleId="ListLabel329" w:customStyle="1">
    <w:name w:val="ListLabel 329"/>
    <w:qFormat/>
    <w:rPr>
      <w:rFonts w:cs="OpenSymbol"/>
    </w:rPr>
  </w:style>
  <w:style w:type="character" w:styleId="ListLabel330" w:customStyle="1">
    <w:name w:val="ListLabel 330"/>
    <w:qFormat/>
    <w:rPr>
      <w:rFonts w:cs="OpenSymbol"/>
    </w:rPr>
  </w:style>
  <w:style w:type="character" w:styleId="ListLabel331" w:customStyle="1">
    <w:name w:val="ListLabel 331"/>
    <w:qFormat/>
    <w:rPr>
      <w:rFonts w:cs="OpenSymbol"/>
    </w:rPr>
  </w:style>
  <w:style w:type="character" w:styleId="ListLabel332" w:customStyle="1">
    <w:name w:val="ListLabel 332"/>
    <w:qFormat/>
    <w:rPr>
      <w:rFonts w:cs="Times New Roman"/>
      <w:sz w:val="20"/>
    </w:rPr>
  </w:style>
  <w:style w:type="character" w:styleId="ListLabel333" w:customStyle="1">
    <w:name w:val="ListLabel 333"/>
    <w:qFormat/>
    <w:rPr>
      <w:rFonts w:cs="Courier New"/>
    </w:rPr>
  </w:style>
  <w:style w:type="character" w:styleId="ListLabel334" w:customStyle="1">
    <w:name w:val="ListLabel 334"/>
    <w:qFormat/>
    <w:rPr>
      <w:rFonts w:cs="Wingdings"/>
    </w:rPr>
  </w:style>
  <w:style w:type="character" w:styleId="ListLabel335" w:customStyle="1">
    <w:name w:val="ListLabel 335"/>
    <w:qFormat/>
    <w:rPr>
      <w:rFonts w:cs="Symbol"/>
    </w:rPr>
  </w:style>
  <w:style w:type="character" w:styleId="ListLabel336" w:customStyle="1">
    <w:name w:val="ListLabel 336"/>
    <w:qFormat/>
    <w:rPr>
      <w:rFonts w:cs="Courier New"/>
    </w:rPr>
  </w:style>
  <w:style w:type="character" w:styleId="ListLabel337" w:customStyle="1">
    <w:name w:val="ListLabel 337"/>
    <w:qFormat/>
    <w:rPr>
      <w:rFonts w:cs="Wingdings"/>
    </w:rPr>
  </w:style>
  <w:style w:type="character" w:styleId="ListLabel338" w:customStyle="1">
    <w:name w:val="ListLabel 338"/>
    <w:qFormat/>
    <w:rPr>
      <w:rFonts w:cs="Symbol"/>
    </w:rPr>
  </w:style>
  <w:style w:type="character" w:styleId="ListLabel339" w:customStyle="1">
    <w:name w:val="ListLabel 339"/>
    <w:qFormat/>
    <w:rPr>
      <w:rFonts w:cs="Courier New"/>
    </w:rPr>
  </w:style>
  <w:style w:type="character" w:styleId="ListLabel340" w:customStyle="1">
    <w:name w:val="ListLabel 340"/>
    <w:qFormat/>
    <w:rPr>
      <w:rFonts w:cs="Wingdings"/>
    </w:rPr>
  </w:style>
  <w:style w:type="character" w:styleId="ListLabel341" w:customStyle="1">
    <w:name w:val="ListLabel 341"/>
    <w:qFormat/>
    <w:rPr>
      <w:rFonts w:cs="OpenSymbol"/>
      <w:sz w:val="20"/>
    </w:rPr>
  </w:style>
  <w:style w:type="character" w:styleId="ListLabel342" w:customStyle="1">
    <w:name w:val="ListLabel 342"/>
    <w:qFormat/>
    <w:rPr>
      <w:rFonts w:cs="Courier New"/>
    </w:rPr>
  </w:style>
  <w:style w:type="character" w:styleId="ListLabel343" w:customStyle="1">
    <w:name w:val="ListLabel 343"/>
    <w:qFormat/>
    <w:rPr>
      <w:rFonts w:cs="Wingdings"/>
    </w:rPr>
  </w:style>
  <w:style w:type="character" w:styleId="ListLabel344" w:customStyle="1">
    <w:name w:val="ListLabel 344"/>
    <w:qFormat/>
    <w:rPr>
      <w:rFonts w:cs="Symbol"/>
    </w:rPr>
  </w:style>
  <w:style w:type="character" w:styleId="ListLabel345" w:customStyle="1">
    <w:name w:val="ListLabel 345"/>
    <w:qFormat/>
    <w:rPr>
      <w:rFonts w:cs="Courier New"/>
    </w:rPr>
  </w:style>
  <w:style w:type="character" w:styleId="ListLabel346" w:customStyle="1">
    <w:name w:val="ListLabel 346"/>
    <w:qFormat/>
    <w:rPr>
      <w:rFonts w:cs="Wingdings"/>
    </w:rPr>
  </w:style>
  <w:style w:type="character" w:styleId="ListLabel347" w:customStyle="1">
    <w:name w:val="ListLabel 347"/>
    <w:qFormat/>
    <w:rPr>
      <w:rFonts w:cs="Symbol"/>
    </w:rPr>
  </w:style>
  <w:style w:type="character" w:styleId="ListLabel348" w:customStyle="1">
    <w:name w:val="ListLabel 348"/>
    <w:qFormat/>
    <w:rPr>
      <w:rFonts w:cs="Courier New"/>
    </w:rPr>
  </w:style>
  <w:style w:type="character" w:styleId="ListLabel349" w:customStyle="1">
    <w:name w:val="ListLabel 349"/>
    <w:qFormat/>
    <w:rPr>
      <w:rFonts w:cs="Wingdings"/>
    </w:rPr>
  </w:style>
  <w:style w:type="character" w:styleId="ListLabel350" w:customStyle="1">
    <w:name w:val="ListLabel 350"/>
    <w:qFormat/>
    <w:rPr>
      <w:rFonts w:cs="Times New Roman"/>
      <w:sz w:val="20"/>
    </w:rPr>
  </w:style>
  <w:style w:type="character" w:styleId="ListLabel351" w:customStyle="1">
    <w:name w:val="ListLabel 351"/>
    <w:qFormat/>
    <w:rPr>
      <w:rFonts w:cs="Courier New"/>
    </w:rPr>
  </w:style>
  <w:style w:type="character" w:styleId="ListLabel352" w:customStyle="1">
    <w:name w:val="ListLabel 352"/>
    <w:qFormat/>
    <w:rPr>
      <w:rFonts w:cs="Wingdings"/>
    </w:rPr>
  </w:style>
  <w:style w:type="character" w:styleId="ListLabel353" w:customStyle="1">
    <w:name w:val="ListLabel 353"/>
    <w:qFormat/>
    <w:rPr>
      <w:rFonts w:cs="Symbol"/>
    </w:rPr>
  </w:style>
  <w:style w:type="character" w:styleId="ListLabel354" w:customStyle="1">
    <w:name w:val="ListLabel 354"/>
    <w:qFormat/>
    <w:rPr>
      <w:rFonts w:cs="Courier New"/>
    </w:rPr>
  </w:style>
  <w:style w:type="character" w:styleId="ListLabel355" w:customStyle="1">
    <w:name w:val="ListLabel 355"/>
    <w:qFormat/>
    <w:rPr>
      <w:rFonts w:cs="Wingdings"/>
    </w:rPr>
  </w:style>
  <w:style w:type="character" w:styleId="ListLabel356" w:customStyle="1">
    <w:name w:val="ListLabel 356"/>
    <w:qFormat/>
    <w:rPr>
      <w:rFonts w:cs="Symbol"/>
    </w:rPr>
  </w:style>
  <w:style w:type="character" w:styleId="ListLabel357" w:customStyle="1">
    <w:name w:val="ListLabel 357"/>
    <w:qFormat/>
    <w:rPr>
      <w:rFonts w:cs="Courier New"/>
    </w:rPr>
  </w:style>
  <w:style w:type="character" w:styleId="ListLabel358" w:customStyle="1">
    <w:name w:val="ListLabel 358"/>
    <w:qFormat/>
    <w:rPr>
      <w:rFonts w:cs="Wingdings"/>
    </w:rPr>
  </w:style>
  <w:style w:type="character" w:styleId="ListLabel359" w:customStyle="1">
    <w:name w:val="ListLabel 359"/>
    <w:qFormat/>
    <w:rPr>
      <w:rFonts w:cs="Symbol"/>
    </w:rPr>
  </w:style>
  <w:style w:type="character" w:styleId="ListLabel360" w:customStyle="1">
    <w:name w:val="ListLabel 360"/>
    <w:qFormat/>
    <w:rPr>
      <w:rFonts w:cs="Times New Roman"/>
      <w:sz w:val="20"/>
    </w:rPr>
  </w:style>
  <w:style w:type="character" w:styleId="ListLabel361" w:customStyle="1">
    <w:name w:val="ListLabel 361"/>
    <w:qFormat/>
    <w:rPr>
      <w:rFonts w:cs="Times New Roman"/>
      <w:sz w:val="16"/>
    </w:rPr>
  </w:style>
  <w:style w:type="character" w:styleId="ListLabel362" w:customStyle="1">
    <w:name w:val="ListLabel 362"/>
    <w:qFormat/>
    <w:rPr>
      <w:rFonts w:cs="Courier New"/>
    </w:rPr>
  </w:style>
  <w:style w:type="character" w:styleId="ListLabel363" w:customStyle="1">
    <w:name w:val="ListLabel 363"/>
    <w:qFormat/>
    <w:rPr>
      <w:rFonts w:cs="Wingdings"/>
    </w:rPr>
  </w:style>
  <w:style w:type="character" w:styleId="ListLabel364" w:customStyle="1">
    <w:name w:val="ListLabel 364"/>
    <w:qFormat/>
    <w:rPr>
      <w:rFonts w:cs="Symbol"/>
    </w:rPr>
  </w:style>
  <w:style w:type="character" w:styleId="ListLabel365" w:customStyle="1">
    <w:name w:val="ListLabel 365"/>
    <w:qFormat/>
    <w:rPr>
      <w:rFonts w:cs="Courier New"/>
    </w:rPr>
  </w:style>
  <w:style w:type="character" w:styleId="ListLabel366" w:customStyle="1">
    <w:name w:val="ListLabel 366"/>
    <w:qFormat/>
    <w:rPr>
      <w:rFonts w:cs="Wingdings"/>
    </w:rPr>
  </w:style>
  <w:style w:type="character" w:styleId="ListLabel367" w:customStyle="1">
    <w:name w:val="ListLabel 367"/>
    <w:qFormat/>
    <w:rPr>
      <w:rFonts w:cs="Symbol"/>
    </w:rPr>
  </w:style>
  <w:style w:type="character" w:styleId="ListLabel368" w:customStyle="1">
    <w:name w:val="ListLabel 368"/>
    <w:qFormat/>
    <w:rPr>
      <w:rFonts w:cs="Courier New"/>
    </w:rPr>
  </w:style>
  <w:style w:type="character" w:styleId="ListLabel369" w:customStyle="1">
    <w:name w:val="ListLabel 369"/>
    <w:qFormat/>
    <w:rPr>
      <w:rFonts w:cs="Wingdings"/>
    </w:rPr>
  </w:style>
  <w:style w:type="character" w:styleId="ListLabel370" w:customStyle="1">
    <w:name w:val="ListLabel 370"/>
    <w:qFormat/>
    <w:rPr>
      <w:rFonts w:cs="Symbol"/>
      <w:sz w:val="20"/>
    </w:rPr>
  </w:style>
  <w:style w:type="character" w:styleId="ListLabel371" w:customStyle="1">
    <w:name w:val="ListLabel 371"/>
    <w:qFormat/>
    <w:rPr>
      <w:rFonts w:cs="Courier New"/>
    </w:rPr>
  </w:style>
  <w:style w:type="character" w:styleId="ListLabel372" w:customStyle="1">
    <w:name w:val="ListLabel 372"/>
    <w:qFormat/>
    <w:rPr>
      <w:rFonts w:cs="Wingdings"/>
    </w:rPr>
  </w:style>
  <w:style w:type="character" w:styleId="ListLabel373" w:customStyle="1">
    <w:name w:val="ListLabel 373"/>
    <w:qFormat/>
    <w:rPr>
      <w:rFonts w:cs="Symbol"/>
    </w:rPr>
  </w:style>
  <w:style w:type="character" w:styleId="ListLabel374" w:customStyle="1">
    <w:name w:val="ListLabel 374"/>
    <w:qFormat/>
    <w:rPr>
      <w:rFonts w:cs="Courier New"/>
    </w:rPr>
  </w:style>
  <w:style w:type="character" w:styleId="ListLabel375" w:customStyle="1">
    <w:name w:val="ListLabel 375"/>
    <w:qFormat/>
    <w:rPr>
      <w:rFonts w:cs="Wingdings"/>
    </w:rPr>
  </w:style>
  <w:style w:type="character" w:styleId="ListLabel376" w:customStyle="1">
    <w:name w:val="ListLabel 376"/>
    <w:qFormat/>
    <w:rPr>
      <w:rFonts w:cs="Symbol"/>
    </w:rPr>
  </w:style>
  <w:style w:type="character" w:styleId="ListLabel377" w:customStyle="1">
    <w:name w:val="ListLabel 377"/>
    <w:qFormat/>
    <w:rPr>
      <w:rFonts w:cs="Courier New"/>
    </w:rPr>
  </w:style>
  <w:style w:type="character" w:styleId="ListLabel378" w:customStyle="1">
    <w:name w:val="ListLabel 378"/>
    <w:qFormat/>
    <w:rPr>
      <w:rFonts w:cs="Wingdings"/>
    </w:rPr>
  </w:style>
  <w:style w:type="character" w:styleId="ListLabel379" w:customStyle="1">
    <w:name w:val="ListLabel 379"/>
    <w:qFormat/>
    <w:rPr>
      <w:rFonts w:cs="OpenSymbol"/>
    </w:rPr>
  </w:style>
  <w:style w:type="character" w:styleId="ListLabel380" w:customStyle="1">
    <w:name w:val="ListLabel 380"/>
    <w:qFormat/>
    <w:rPr>
      <w:rFonts w:cs="OpenSymbol"/>
    </w:rPr>
  </w:style>
  <w:style w:type="character" w:styleId="ListLabel381" w:customStyle="1">
    <w:name w:val="ListLabel 381"/>
    <w:qFormat/>
    <w:rPr>
      <w:rFonts w:cs="OpenSymbol"/>
    </w:rPr>
  </w:style>
  <w:style w:type="character" w:styleId="ListLabel382" w:customStyle="1">
    <w:name w:val="ListLabel 382"/>
    <w:qFormat/>
    <w:rPr>
      <w:rFonts w:cs="OpenSymbol"/>
    </w:rPr>
  </w:style>
  <w:style w:type="character" w:styleId="ListLabel383" w:customStyle="1">
    <w:name w:val="ListLabel 383"/>
    <w:qFormat/>
    <w:rPr>
      <w:rFonts w:cs="OpenSymbol"/>
    </w:rPr>
  </w:style>
  <w:style w:type="character" w:styleId="ListLabel384" w:customStyle="1">
    <w:name w:val="ListLabel 384"/>
    <w:qFormat/>
    <w:rPr>
      <w:rFonts w:cs="OpenSymbol"/>
    </w:rPr>
  </w:style>
  <w:style w:type="character" w:styleId="ListLabel385" w:customStyle="1">
    <w:name w:val="ListLabel 385"/>
    <w:qFormat/>
    <w:rPr>
      <w:rFonts w:cs="OpenSymbol"/>
    </w:rPr>
  </w:style>
  <w:style w:type="character" w:styleId="ListLabel386" w:customStyle="1">
    <w:name w:val="ListLabel 386"/>
    <w:qFormat/>
    <w:rPr>
      <w:rFonts w:cs="OpenSymbol"/>
    </w:rPr>
  </w:style>
  <w:style w:type="character" w:styleId="ListLabel387" w:customStyle="1">
    <w:name w:val="ListLabel 387"/>
    <w:qFormat/>
    <w:rPr>
      <w:rFonts w:cs="OpenSymbol"/>
    </w:rPr>
  </w:style>
  <w:style w:type="character" w:styleId="ListLabel388" w:customStyle="1">
    <w:name w:val="ListLabel 388"/>
    <w:qFormat/>
    <w:rPr>
      <w:rFonts w:cs="OpenSymbol"/>
    </w:rPr>
  </w:style>
  <w:style w:type="character" w:styleId="ListLabel389" w:customStyle="1">
    <w:name w:val="ListLabel 389"/>
    <w:qFormat/>
    <w:rPr>
      <w:rFonts w:cs="OpenSymbol"/>
    </w:rPr>
  </w:style>
  <w:style w:type="character" w:styleId="ListLabel390" w:customStyle="1">
    <w:name w:val="ListLabel 390"/>
    <w:qFormat/>
    <w:rPr>
      <w:rFonts w:cs="OpenSymbol"/>
    </w:rPr>
  </w:style>
  <w:style w:type="character" w:styleId="ListLabel391" w:customStyle="1">
    <w:name w:val="ListLabel 391"/>
    <w:qFormat/>
    <w:rPr>
      <w:rFonts w:cs="OpenSymbol"/>
    </w:rPr>
  </w:style>
  <w:style w:type="character" w:styleId="ListLabel392" w:customStyle="1">
    <w:name w:val="ListLabel 392"/>
    <w:qFormat/>
    <w:rPr>
      <w:rFonts w:cs="OpenSymbol"/>
    </w:rPr>
  </w:style>
  <w:style w:type="character" w:styleId="ListLabel393" w:customStyle="1">
    <w:name w:val="ListLabel 393"/>
    <w:qFormat/>
    <w:rPr>
      <w:rFonts w:cs="OpenSymbol"/>
    </w:rPr>
  </w:style>
  <w:style w:type="character" w:styleId="ListLabel394" w:customStyle="1">
    <w:name w:val="ListLabel 394"/>
    <w:qFormat/>
    <w:rPr>
      <w:rFonts w:cs="OpenSymbol"/>
    </w:rPr>
  </w:style>
  <w:style w:type="character" w:styleId="ListLabel395" w:customStyle="1">
    <w:name w:val="ListLabel 395"/>
    <w:qFormat/>
    <w:rPr>
      <w:rFonts w:cs="OpenSymbol"/>
    </w:rPr>
  </w:style>
  <w:style w:type="character" w:styleId="ListLabel396" w:customStyle="1">
    <w:name w:val="ListLabel 396"/>
    <w:qFormat/>
    <w:rPr>
      <w:rFonts w:cs="OpenSymbol"/>
    </w:rPr>
  </w:style>
  <w:style w:type="character" w:styleId="ListLabel397" w:customStyle="1">
    <w:name w:val="ListLabel 397"/>
    <w:qFormat/>
    <w:rPr>
      <w:rFonts w:cs="OpenSymbol"/>
    </w:rPr>
  </w:style>
  <w:style w:type="character" w:styleId="ListLabel398" w:customStyle="1">
    <w:name w:val="ListLabel 398"/>
    <w:qFormat/>
    <w:rPr>
      <w:rFonts w:cs="OpenSymbol"/>
    </w:rPr>
  </w:style>
  <w:style w:type="character" w:styleId="ListLabel399" w:customStyle="1">
    <w:name w:val="ListLabel 399"/>
    <w:qFormat/>
    <w:rPr>
      <w:rFonts w:cs="OpenSymbol"/>
    </w:rPr>
  </w:style>
  <w:style w:type="character" w:styleId="ListLabel400" w:customStyle="1">
    <w:name w:val="ListLabel 400"/>
    <w:qFormat/>
    <w:rPr>
      <w:rFonts w:cs="OpenSymbol"/>
    </w:rPr>
  </w:style>
  <w:style w:type="character" w:styleId="ListLabel401" w:customStyle="1">
    <w:name w:val="ListLabel 401"/>
    <w:qFormat/>
    <w:rPr>
      <w:rFonts w:cs="OpenSymbol"/>
    </w:rPr>
  </w:style>
  <w:style w:type="character" w:styleId="ListLabel402" w:customStyle="1">
    <w:name w:val="ListLabel 402"/>
    <w:qFormat/>
    <w:rPr>
      <w:rFonts w:cs="OpenSymbol"/>
    </w:rPr>
  </w:style>
  <w:style w:type="character" w:styleId="ListLabel403" w:customStyle="1">
    <w:name w:val="ListLabel 403"/>
    <w:qFormat/>
    <w:rPr>
      <w:rFonts w:cs="OpenSymbol"/>
    </w:rPr>
  </w:style>
  <w:style w:type="character" w:styleId="ListLabel404" w:customStyle="1">
    <w:name w:val="ListLabel 404"/>
    <w:qFormat/>
    <w:rPr>
      <w:rFonts w:cs="OpenSymbol"/>
    </w:rPr>
  </w:style>
  <w:style w:type="character" w:styleId="ListLabel405" w:customStyle="1">
    <w:name w:val="ListLabel 405"/>
    <w:qFormat/>
    <w:rPr>
      <w:rFonts w:cs="OpenSymbol"/>
    </w:rPr>
  </w:style>
  <w:style w:type="character" w:styleId="ListLabel406" w:customStyle="1">
    <w:name w:val="ListLabel 406"/>
    <w:qFormat/>
    <w:rPr>
      <w:rFonts w:cs="OpenSymbol"/>
    </w:rPr>
  </w:style>
  <w:style w:type="character" w:styleId="ListLabel407" w:customStyle="1">
    <w:name w:val="ListLabel 407"/>
    <w:qFormat/>
    <w:rPr>
      <w:rFonts w:cs="OpenSymbol"/>
    </w:rPr>
  </w:style>
  <w:style w:type="character" w:styleId="ListLabel408" w:customStyle="1">
    <w:name w:val="ListLabel 408"/>
    <w:qFormat/>
    <w:rPr>
      <w:rFonts w:cs="OpenSymbol"/>
    </w:rPr>
  </w:style>
  <w:style w:type="character" w:styleId="ListLabel409" w:customStyle="1">
    <w:name w:val="ListLabel 409"/>
    <w:qFormat/>
    <w:rPr>
      <w:rFonts w:cs="OpenSymbol"/>
    </w:rPr>
  </w:style>
  <w:style w:type="character" w:styleId="ListLabel410" w:customStyle="1">
    <w:name w:val="ListLabel 410"/>
    <w:qFormat/>
    <w:rPr>
      <w:rFonts w:cs="OpenSymbol"/>
    </w:rPr>
  </w:style>
  <w:style w:type="character" w:styleId="ListLabel411" w:customStyle="1">
    <w:name w:val="ListLabel 411"/>
    <w:qFormat/>
    <w:rPr>
      <w:rFonts w:cs="OpenSymbol"/>
    </w:rPr>
  </w:style>
  <w:style w:type="character" w:styleId="ListLabel412" w:customStyle="1">
    <w:name w:val="ListLabel 412"/>
    <w:qFormat/>
    <w:rPr>
      <w:rFonts w:cs="OpenSymbol"/>
    </w:rPr>
  </w:style>
  <w:style w:type="character" w:styleId="ListLabel413" w:customStyle="1">
    <w:name w:val="ListLabel 413"/>
    <w:qFormat/>
    <w:rPr>
      <w:rFonts w:cs="OpenSymbol"/>
    </w:rPr>
  </w:style>
  <w:style w:type="character" w:styleId="ListLabel414" w:customStyle="1">
    <w:name w:val="ListLabel 414"/>
    <w:qFormat/>
    <w:rPr>
      <w:rFonts w:cs="OpenSymbol"/>
    </w:rPr>
  </w:style>
  <w:style w:type="character" w:styleId="ListLabel415" w:customStyle="1">
    <w:name w:val="ListLabel 415"/>
    <w:qFormat/>
    <w:rPr>
      <w:rFonts w:cs="OpenSymbol"/>
    </w:rPr>
  </w:style>
  <w:style w:type="character" w:styleId="ListLabel416" w:customStyle="1">
    <w:name w:val="ListLabel 416"/>
    <w:qFormat/>
    <w:rPr>
      <w:rFonts w:cs="OpenSymbol"/>
    </w:rPr>
  </w:style>
  <w:style w:type="character" w:styleId="ListLabel417" w:customStyle="1">
    <w:name w:val="ListLabel 417"/>
    <w:qFormat/>
    <w:rPr>
      <w:rFonts w:cs="OpenSymbol"/>
    </w:rPr>
  </w:style>
  <w:style w:type="character" w:styleId="ListLabel418" w:customStyle="1">
    <w:name w:val="ListLabel 418"/>
    <w:qFormat/>
    <w:rPr>
      <w:rFonts w:cs="OpenSymbol"/>
    </w:rPr>
  </w:style>
  <w:style w:type="character" w:styleId="ListLabel419" w:customStyle="1">
    <w:name w:val="ListLabel 419"/>
    <w:qFormat/>
    <w:rPr>
      <w:rFonts w:cs="OpenSymbol"/>
    </w:rPr>
  </w:style>
  <w:style w:type="character" w:styleId="ListLabel420" w:customStyle="1">
    <w:name w:val="ListLabel 420"/>
    <w:qFormat/>
    <w:rPr>
      <w:rFonts w:cs="OpenSymbol"/>
    </w:rPr>
  </w:style>
  <w:style w:type="character" w:styleId="ListLabel421" w:customStyle="1">
    <w:name w:val="ListLabel 421"/>
    <w:qFormat/>
    <w:rPr>
      <w:rFonts w:cs="OpenSymbol"/>
    </w:rPr>
  </w:style>
  <w:style w:type="character" w:styleId="ListLabel422" w:customStyle="1">
    <w:name w:val="ListLabel 422"/>
    <w:qFormat/>
    <w:rPr>
      <w:rFonts w:cs="OpenSymbol"/>
    </w:rPr>
  </w:style>
  <w:style w:type="character" w:styleId="ListLabel423" w:customStyle="1">
    <w:name w:val="ListLabel 423"/>
    <w:qFormat/>
    <w:rPr>
      <w:rFonts w:cs="OpenSymbol"/>
    </w:rPr>
  </w:style>
  <w:style w:type="character" w:styleId="ListLabel424" w:customStyle="1">
    <w:name w:val="ListLabel 424"/>
    <w:qFormat/>
    <w:rPr>
      <w:rFonts w:cs="OpenSymbol"/>
    </w:rPr>
  </w:style>
  <w:style w:type="character" w:styleId="ListLabel425" w:customStyle="1">
    <w:name w:val="ListLabel 425"/>
    <w:qFormat/>
    <w:rPr>
      <w:rFonts w:cs="OpenSymbol"/>
    </w:rPr>
  </w:style>
  <w:style w:type="character" w:styleId="ListLabel426" w:customStyle="1">
    <w:name w:val="ListLabel 426"/>
    <w:qFormat/>
    <w:rPr>
      <w:rFonts w:cs="OpenSymbol"/>
    </w:rPr>
  </w:style>
  <w:style w:type="character" w:styleId="ListLabel427" w:customStyle="1">
    <w:name w:val="ListLabel 427"/>
    <w:qFormat/>
    <w:rPr>
      <w:rFonts w:cs="OpenSymbol"/>
    </w:rPr>
  </w:style>
  <w:style w:type="character" w:styleId="ListLabel428" w:customStyle="1">
    <w:name w:val="ListLabel 428"/>
    <w:qFormat/>
    <w:rPr>
      <w:rFonts w:cs="OpenSymbol"/>
    </w:rPr>
  </w:style>
  <w:style w:type="character" w:styleId="ListLabel429" w:customStyle="1">
    <w:name w:val="ListLabel 429"/>
    <w:qFormat/>
    <w:rPr>
      <w:rFonts w:cs="OpenSymbol"/>
    </w:rPr>
  </w:style>
  <w:style w:type="character" w:styleId="ListLabel430" w:customStyle="1">
    <w:name w:val="ListLabel 430"/>
    <w:qFormat/>
    <w:rPr>
      <w:rFonts w:cs="OpenSymbol"/>
    </w:rPr>
  </w:style>
  <w:style w:type="character" w:styleId="ListLabel431" w:customStyle="1">
    <w:name w:val="ListLabel 431"/>
    <w:qFormat/>
    <w:rPr>
      <w:rFonts w:cs="OpenSymbol"/>
    </w:rPr>
  </w:style>
  <w:style w:type="character" w:styleId="ListLabel432" w:customStyle="1">
    <w:name w:val="ListLabel 432"/>
    <w:qFormat/>
    <w:rPr>
      <w:rFonts w:cs="OpenSymbol"/>
    </w:rPr>
  </w:style>
  <w:style w:type="character" w:styleId="ListLabel433" w:customStyle="1">
    <w:name w:val="ListLabel 433"/>
    <w:qFormat/>
    <w:rPr>
      <w:szCs w:val="20"/>
    </w:rPr>
  </w:style>
  <w:style w:type="character" w:styleId="ListLabel434" w:customStyle="1">
    <w:name w:val="ListLabel 434"/>
    <w:qFormat/>
    <w:rPr>
      <w:szCs w:val="20"/>
      <w:u w:val="none"/>
    </w:rPr>
  </w:style>
  <w:style w:type="character" w:styleId="ListLabel435" w:customStyle="1">
    <w:name w:val="ListLabel 435"/>
    <w:qFormat/>
    <w:rPr/>
  </w:style>
  <w:style w:type="character" w:styleId="ListLabel436" w:customStyle="1">
    <w:name w:val="ListLabel 436"/>
    <w:qFormat/>
    <w:rPr>
      <w:sz w:val="20"/>
      <w:szCs w:val="20"/>
      <w:u w:val="none"/>
    </w:rPr>
  </w:style>
  <w:style w:type="character" w:styleId="ListLabel437" w:customStyle="1">
    <w:name w:val="ListLabel 437"/>
    <w:qFormat/>
    <w:rPr/>
  </w:style>
  <w:style w:type="character" w:styleId="ListLabel438" w:customStyle="1">
    <w:name w:val="ListLabel 438"/>
    <w:qFormat/>
    <w:rPr>
      <w:rFonts w:ascii="apple-system;BlinkMacSystemFont" w:hAnsi="apple-system;BlinkMacSystemFont"/>
      <w:color w:val="091E42"/>
      <w:sz w:val="21"/>
    </w:rPr>
  </w:style>
  <w:style w:type="character" w:styleId="ListLabel439" w:customStyle="1">
    <w:name w:val="ListLabel 439"/>
    <w:qFormat/>
    <w:rPr>
      <w:rFonts w:cs="OpenSymbol"/>
      <w:sz w:val="20"/>
    </w:rPr>
  </w:style>
  <w:style w:type="character" w:styleId="ListLabel440" w:customStyle="1">
    <w:name w:val="ListLabel 440"/>
    <w:qFormat/>
    <w:rPr>
      <w:rFonts w:cs="OpenSymbol;Arial Unicode MS"/>
      <w:lang w:val="nl-NL"/>
    </w:rPr>
  </w:style>
  <w:style w:type="character" w:styleId="ListLabel441" w:customStyle="1">
    <w:name w:val="ListLabel 441"/>
    <w:qFormat/>
    <w:rPr>
      <w:rFonts w:cs="OpenSymbol;Arial Unicode MS"/>
      <w:lang w:val="nl-NL"/>
    </w:rPr>
  </w:style>
  <w:style w:type="character" w:styleId="ListLabel442" w:customStyle="1">
    <w:name w:val="ListLabel 442"/>
    <w:qFormat/>
    <w:rPr>
      <w:rFonts w:cs="OpenSymbol;Arial Unicode MS"/>
      <w:lang w:val="nl-NL"/>
    </w:rPr>
  </w:style>
  <w:style w:type="character" w:styleId="ListLabel443" w:customStyle="1">
    <w:name w:val="ListLabel 443"/>
    <w:qFormat/>
    <w:rPr>
      <w:rFonts w:cs="OpenSymbol;Arial Unicode MS"/>
      <w:lang w:val="nl-NL"/>
    </w:rPr>
  </w:style>
  <w:style w:type="character" w:styleId="ListLabel444" w:customStyle="1">
    <w:name w:val="ListLabel 444"/>
    <w:qFormat/>
    <w:rPr>
      <w:rFonts w:cs="OpenSymbol;Arial Unicode MS"/>
      <w:lang w:val="nl-NL"/>
    </w:rPr>
  </w:style>
  <w:style w:type="character" w:styleId="ListLabel445" w:customStyle="1">
    <w:name w:val="ListLabel 445"/>
    <w:qFormat/>
    <w:rPr>
      <w:rFonts w:cs="OpenSymbol;Arial Unicode MS"/>
      <w:lang w:val="nl-NL"/>
    </w:rPr>
  </w:style>
  <w:style w:type="character" w:styleId="ListLabel446" w:customStyle="1">
    <w:name w:val="ListLabel 446"/>
    <w:qFormat/>
    <w:rPr>
      <w:rFonts w:cs="OpenSymbol;Arial Unicode MS"/>
      <w:lang w:val="nl-NL"/>
    </w:rPr>
  </w:style>
  <w:style w:type="character" w:styleId="ListLabel447" w:customStyle="1">
    <w:name w:val="ListLabel 447"/>
    <w:qFormat/>
    <w:rPr>
      <w:rFonts w:cs="OpenSymbol;Arial Unicode MS"/>
      <w:lang w:val="nl-NL"/>
    </w:rPr>
  </w:style>
  <w:style w:type="character" w:styleId="ListLabel448" w:customStyle="1">
    <w:name w:val="ListLabel 448"/>
    <w:qFormat/>
    <w:rPr>
      <w:rFonts w:cs="OpenSymbol"/>
      <w:sz w:val="20"/>
    </w:rPr>
  </w:style>
  <w:style w:type="character" w:styleId="ListLabel449" w:customStyle="1">
    <w:name w:val="ListLabel 449"/>
    <w:qFormat/>
    <w:rPr>
      <w:rFonts w:cs="OpenSymbol"/>
    </w:rPr>
  </w:style>
  <w:style w:type="character" w:styleId="ListLabel450" w:customStyle="1">
    <w:name w:val="ListLabel 450"/>
    <w:qFormat/>
    <w:rPr>
      <w:rFonts w:cs="OpenSymbol"/>
    </w:rPr>
  </w:style>
  <w:style w:type="character" w:styleId="ListLabel451" w:customStyle="1">
    <w:name w:val="ListLabel 451"/>
    <w:qFormat/>
    <w:rPr>
      <w:rFonts w:cs="OpenSymbol"/>
    </w:rPr>
  </w:style>
  <w:style w:type="character" w:styleId="ListLabel452" w:customStyle="1">
    <w:name w:val="ListLabel 452"/>
    <w:qFormat/>
    <w:rPr>
      <w:rFonts w:cs="OpenSymbol"/>
    </w:rPr>
  </w:style>
  <w:style w:type="character" w:styleId="ListLabel453" w:customStyle="1">
    <w:name w:val="ListLabel 453"/>
    <w:qFormat/>
    <w:rPr>
      <w:rFonts w:cs="OpenSymbol"/>
    </w:rPr>
  </w:style>
  <w:style w:type="character" w:styleId="ListLabel454" w:customStyle="1">
    <w:name w:val="ListLabel 454"/>
    <w:qFormat/>
    <w:rPr>
      <w:rFonts w:cs="OpenSymbol"/>
    </w:rPr>
  </w:style>
  <w:style w:type="character" w:styleId="ListLabel455" w:customStyle="1">
    <w:name w:val="ListLabel 455"/>
    <w:qFormat/>
    <w:rPr>
      <w:rFonts w:cs="OpenSymbol"/>
    </w:rPr>
  </w:style>
  <w:style w:type="character" w:styleId="ListLabel456" w:customStyle="1">
    <w:name w:val="ListLabel 456"/>
    <w:qFormat/>
    <w:rPr>
      <w:rFonts w:cs="OpenSymbol"/>
    </w:rPr>
  </w:style>
  <w:style w:type="character" w:styleId="ListLabel457" w:customStyle="1">
    <w:name w:val="ListLabel 457"/>
    <w:qFormat/>
    <w:rPr>
      <w:rFonts w:cs="OpenSymbol"/>
      <w:sz w:val="20"/>
    </w:rPr>
  </w:style>
  <w:style w:type="character" w:styleId="ListLabel458" w:customStyle="1">
    <w:name w:val="ListLabel 458"/>
    <w:qFormat/>
    <w:rPr>
      <w:rFonts w:cs="OpenSymbol"/>
    </w:rPr>
  </w:style>
  <w:style w:type="character" w:styleId="ListLabel459" w:customStyle="1">
    <w:name w:val="ListLabel 459"/>
    <w:qFormat/>
    <w:rPr>
      <w:rFonts w:cs="OpenSymbol"/>
    </w:rPr>
  </w:style>
  <w:style w:type="character" w:styleId="ListLabel460" w:customStyle="1">
    <w:name w:val="ListLabel 460"/>
    <w:qFormat/>
    <w:rPr>
      <w:rFonts w:cs="OpenSymbol"/>
    </w:rPr>
  </w:style>
  <w:style w:type="character" w:styleId="ListLabel461" w:customStyle="1">
    <w:name w:val="ListLabel 461"/>
    <w:qFormat/>
    <w:rPr>
      <w:rFonts w:cs="OpenSymbol"/>
    </w:rPr>
  </w:style>
  <w:style w:type="character" w:styleId="ListLabel462" w:customStyle="1">
    <w:name w:val="ListLabel 462"/>
    <w:qFormat/>
    <w:rPr>
      <w:rFonts w:cs="OpenSymbol"/>
    </w:rPr>
  </w:style>
  <w:style w:type="character" w:styleId="ListLabel463" w:customStyle="1">
    <w:name w:val="ListLabel 463"/>
    <w:qFormat/>
    <w:rPr>
      <w:rFonts w:cs="OpenSymbol"/>
    </w:rPr>
  </w:style>
  <w:style w:type="character" w:styleId="ListLabel464" w:customStyle="1">
    <w:name w:val="ListLabel 464"/>
    <w:qFormat/>
    <w:rPr>
      <w:rFonts w:cs="OpenSymbol"/>
    </w:rPr>
  </w:style>
  <w:style w:type="character" w:styleId="ListLabel465" w:customStyle="1">
    <w:name w:val="ListLabel 465"/>
    <w:qFormat/>
    <w:rPr>
      <w:rFonts w:cs="OpenSymbol"/>
    </w:rPr>
  </w:style>
  <w:style w:type="character" w:styleId="ListLabel466" w:customStyle="1">
    <w:name w:val="ListLabel 466"/>
    <w:qFormat/>
    <w:rPr>
      <w:rFonts w:cs="OpenSymbol"/>
      <w:sz w:val="20"/>
    </w:rPr>
  </w:style>
  <w:style w:type="character" w:styleId="ListLabel467" w:customStyle="1">
    <w:name w:val="ListLabel 467"/>
    <w:qFormat/>
    <w:rPr>
      <w:rFonts w:cs="OpenSymbol"/>
    </w:rPr>
  </w:style>
  <w:style w:type="character" w:styleId="ListLabel468" w:customStyle="1">
    <w:name w:val="ListLabel 468"/>
    <w:qFormat/>
    <w:rPr>
      <w:rFonts w:cs="OpenSymbol"/>
    </w:rPr>
  </w:style>
  <w:style w:type="character" w:styleId="ListLabel469" w:customStyle="1">
    <w:name w:val="ListLabel 469"/>
    <w:qFormat/>
    <w:rPr>
      <w:rFonts w:cs="OpenSymbol"/>
    </w:rPr>
  </w:style>
  <w:style w:type="character" w:styleId="ListLabel470" w:customStyle="1">
    <w:name w:val="ListLabel 470"/>
    <w:qFormat/>
    <w:rPr>
      <w:rFonts w:cs="OpenSymbol"/>
    </w:rPr>
  </w:style>
  <w:style w:type="character" w:styleId="ListLabel471" w:customStyle="1">
    <w:name w:val="ListLabel 471"/>
    <w:qFormat/>
    <w:rPr>
      <w:rFonts w:cs="OpenSymbol"/>
    </w:rPr>
  </w:style>
  <w:style w:type="character" w:styleId="ListLabel472" w:customStyle="1">
    <w:name w:val="ListLabel 472"/>
    <w:qFormat/>
    <w:rPr>
      <w:rFonts w:cs="OpenSymbol"/>
    </w:rPr>
  </w:style>
  <w:style w:type="character" w:styleId="ListLabel473" w:customStyle="1">
    <w:name w:val="ListLabel 473"/>
    <w:qFormat/>
    <w:rPr>
      <w:rFonts w:cs="OpenSymbol"/>
    </w:rPr>
  </w:style>
  <w:style w:type="character" w:styleId="ListLabel474" w:customStyle="1">
    <w:name w:val="ListLabel 474"/>
    <w:qFormat/>
    <w:rPr>
      <w:rFonts w:cs="OpenSymbol"/>
    </w:rPr>
  </w:style>
  <w:style w:type="character" w:styleId="ListLabel475" w:customStyle="1">
    <w:name w:val="ListLabel 475"/>
    <w:qFormat/>
    <w:rPr>
      <w:rFonts w:cs="OpenSymbol"/>
      <w:sz w:val="20"/>
    </w:rPr>
  </w:style>
  <w:style w:type="character" w:styleId="ListLabel476" w:customStyle="1">
    <w:name w:val="ListLabel 476"/>
    <w:qFormat/>
    <w:rPr>
      <w:rFonts w:cs="OpenSymbol"/>
    </w:rPr>
  </w:style>
  <w:style w:type="character" w:styleId="ListLabel477" w:customStyle="1">
    <w:name w:val="ListLabel 477"/>
    <w:qFormat/>
    <w:rPr>
      <w:rFonts w:cs="OpenSymbol"/>
    </w:rPr>
  </w:style>
  <w:style w:type="character" w:styleId="ListLabel478" w:customStyle="1">
    <w:name w:val="ListLabel 478"/>
    <w:qFormat/>
    <w:rPr>
      <w:rFonts w:cs="OpenSymbol"/>
    </w:rPr>
  </w:style>
  <w:style w:type="character" w:styleId="ListLabel479" w:customStyle="1">
    <w:name w:val="ListLabel 479"/>
    <w:qFormat/>
    <w:rPr>
      <w:rFonts w:cs="OpenSymbol"/>
    </w:rPr>
  </w:style>
  <w:style w:type="character" w:styleId="ListLabel480" w:customStyle="1">
    <w:name w:val="ListLabel 480"/>
    <w:qFormat/>
    <w:rPr>
      <w:rFonts w:cs="OpenSymbol"/>
    </w:rPr>
  </w:style>
  <w:style w:type="character" w:styleId="ListLabel481" w:customStyle="1">
    <w:name w:val="ListLabel 481"/>
    <w:qFormat/>
    <w:rPr>
      <w:rFonts w:cs="OpenSymbol"/>
    </w:rPr>
  </w:style>
  <w:style w:type="character" w:styleId="ListLabel482" w:customStyle="1">
    <w:name w:val="ListLabel 482"/>
    <w:qFormat/>
    <w:rPr>
      <w:rFonts w:cs="OpenSymbol"/>
    </w:rPr>
  </w:style>
  <w:style w:type="character" w:styleId="ListLabel483" w:customStyle="1">
    <w:name w:val="ListLabel 483"/>
    <w:qFormat/>
    <w:rPr>
      <w:rFonts w:cs="OpenSymbol"/>
    </w:rPr>
  </w:style>
  <w:style w:type="character" w:styleId="ListLabel484" w:customStyle="1">
    <w:name w:val="ListLabel 484"/>
    <w:qFormat/>
    <w:rPr>
      <w:rFonts w:cs="OpenSymbol"/>
      <w:sz w:val="20"/>
    </w:rPr>
  </w:style>
  <w:style w:type="character" w:styleId="ListLabel485" w:customStyle="1">
    <w:name w:val="ListLabel 485"/>
    <w:qFormat/>
    <w:rPr>
      <w:rFonts w:cs="OpenSymbol"/>
    </w:rPr>
  </w:style>
  <w:style w:type="character" w:styleId="ListLabel486" w:customStyle="1">
    <w:name w:val="ListLabel 486"/>
    <w:qFormat/>
    <w:rPr>
      <w:rFonts w:cs="OpenSymbol"/>
    </w:rPr>
  </w:style>
  <w:style w:type="character" w:styleId="ListLabel487" w:customStyle="1">
    <w:name w:val="ListLabel 487"/>
    <w:qFormat/>
    <w:rPr>
      <w:rFonts w:cs="OpenSymbol"/>
    </w:rPr>
  </w:style>
  <w:style w:type="character" w:styleId="ListLabel488" w:customStyle="1">
    <w:name w:val="ListLabel 488"/>
    <w:qFormat/>
    <w:rPr>
      <w:rFonts w:cs="OpenSymbol"/>
    </w:rPr>
  </w:style>
  <w:style w:type="character" w:styleId="ListLabel489" w:customStyle="1">
    <w:name w:val="ListLabel 489"/>
    <w:qFormat/>
    <w:rPr>
      <w:rFonts w:cs="OpenSymbol"/>
    </w:rPr>
  </w:style>
  <w:style w:type="character" w:styleId="ListLabel490" w:customStyle="1">
    <w:name w:val="ListLabel 490"/>
    <w:qFormat/>
    <w:rPr>
      <w:rFonts w:cs="OpenSymbol"/>
    </w:rPr>
  </w:style>
  <w:style w:type="character" w:styleId="ListLabel491" w:customStyle="1">
    <w:name w:val="ListLabel 491"/>
    <w:qFormat/>
    <w:rPr>
      <w:rFonts w:cs="OpenSymbol"/>
    </w:rPr>
  </w:style>
  <w:style w:type="character" w:styleId="ListLabel492" w:customStyle="1">
    <w:name w:val="ListLabel 492"/>
    <w:qFormat/>
    <w:rPr>
      <w:rFonts w:cs="OpenSymbol"/>
    </w:rPr>
  </w:style>
  <w:style w:type="character" w:styleId="ListLabel493" w:customStyle="1">
    <w:name w:val="ListLabel 493"/>
    <w:qFormat/>
    <w:rPr>
      <w:rFonts w:cs="OpenSymbol"/>
      <w:sz w:val="20"/>
    </w:rPr>
  </w:style>
  <w:style w:type="character" w:styleId="ListLabel494" w:customStyle="1">
    <w:name w:val="ListLabel 494"/>
    <w:qFormat/>
    <w:rPr>
      <w:rFonts w:cs="OpenSymbol"/>
    </w:rPr>
  </w:style>
  <w:style w:type="character" w:styleId="ListLabel495" w:customStyle="1">
    <w:name w:val="ListLabel 495"/>
    <w:qFormat/>
    <w:rPr>
      <w:rFonts w:cs="OpenSymbol"/>
    </w:rPr>
  </w:style>
  <w:style w:type="character" w:styleId="ListLabel496" w:customStyle="1">
    <w:name w:val="ListLabel 496"/>
    <w:qFormat/>
    <w:rPr>
      <w:rFonts w:cs="OpenSymbol"/>
    </w:rPr>
  </w:style>
  <w:style w:type="character" w:styleId="ListLabel497" w:customStyle="1">
    <w:name w:val="ListLabel 497"/>
    <w:qFormat/>
    <w:rPr>
      <w:rFonts w:cs="OpenSymbol"/>
    </w:rPr>
  </w:style>
  <w:style w:type="character" w:styleId="ListLabel498" w:customStyle="1">
    <w:name w:val="ListLabel 498"/>
    <w:qFormat/>
    <w:rPr>
      <w:rFonts w:cs="OpenSymbol"/>
    </w:rPr>
  </w:style>
  <w:style w:type="character" w:styleId="ListLabel499" w:customStyle="1">
    <w:name w:val="ListLabel 499"/>
    <w:qFormat/>
    <w:rPr>
      <w:rFonts w:cs="OpenSymbol"/>
    </w:rPr>
  </w:style>
  <w:style w:type="character" w:styleId="ListLabel500" w:customStyle="1">
    <w:name w:val="ListLabel 500"/>
    <w:qFormat/>
    <w:rPr>
      <w:rFonts w:cs="OpenSymbol"/>
    </w:rPr>
  </w:style>
  <w:style w:type="character" w:styleId="ListLabel501" w:customStyle="1">
    <w:name w:val="ListLabel 501"/>
    <w:qFormat/>
    <w:rPr>
      <w:rFonts w:cs="OpenSymbol"/>
    </w:rPr>
  </w:style>
  <w:style w:type="character" w:styleId="ListLabel502" w:customStyle="1">
    <w:name w:val="ListLabel 502"/>
    <w:qFormat/>
    <w:rPr>
      <w:rFonts w:cs="Times New Roman"/>
      <w:sz w:val="20"/>
    </w:rPr>
  </w:style>
  <w:style w:type="character" w:styleId="ListLabel503" w:customStyle="1">
    <w:name w:val="ListLabel 503"/>
    <w:qFormat/>
    <w:rPr>
      <w:rFonts w:cs="Courier New"/>
    </w:rPr>
  </w:style>
  <w:style w:type="character" w:styleId="ListLabel504" w:customStyle="1">
    <w:name w:val="ListLabel 504"/>
    <w:qFormat/>
    <w:rPr>
      <w:rFonts w:cs="Wingdings"/>
    </w:rPr>
  </w:style>
  <w:style w:type="character" w:styleId="ListLabel505" w:customStyle="1">
    <w:name w:val="ListLabel 505"/>
    <w:qFormat/>
    <w:rPr>
      <w:rFonts w:cs="Symbol"/>
    </w:rPr>
  </w:style>
  <w:style w:type="character" w:styleId="ListLabel506" w:customStyle="1">
    <w:name w:val="ListLabel 506"/>
    <w:qFormat/>
    <w:rPr>
      <w:rFonts w:cs="Courier New"/>
    </w:rPr>
  </w:style>
  <w:style w:type="character" w:styleId="ListLabel507" w:customStyle="1">
    <w:name w:val="ListLabel 507"/>
    <w:qFormat/>
    <w:rPr>
      <w:rFonts w:cs="Wingdings"/>
    </w:rPr>
  </w:style>
  <w:style w:type="character" w:styleId="ListLabel508" w:customStyle="1">
    <w:name w:val="ListLabel 508"/>
    <w:qFormat/>
    <w:rPr>
      <w:rFonts w:cs="Symbol"/>
    </w:rPr>
  </w:style>
  <w:style w:type="character" w:styleId="ListLabel509" w:customStyle="1">
    <w:name w:val="ListLabel 509"/>
    <w:qFormat/>
    <w:rPr>
      <w:rFonts w:cs="Courier New"/>
    </w:rPr>
  </w:style>
  <w:style w:type="character" w:styleId="ListLabel510" w:customStyle="1">
    <w:name w:val="ListLabel 510"/>
    <w:qFormat/>
    <w:rPr>
      <w:rFonts w:cs="Wingdings"/>
    </w:rPr>
  </w:style>
  <w:style w:type="character" w:styleId="ListLabel511" w:customStyle="1">
    <w:name w:val="ListLabel 511"/>
    <w:qFormat/>
    <w:rPr>
      <w:rFonts w:cs="OpenSymbol"/>
      <w:sz w:val="20"/>
    </w:rPr>
  </w:style>
  <w:style w:type="character" w:styleId="ListLabel512" w:customStyle="1">
    <w:name w:val="ListLabel 512"/>
    <w:qFormat/>
    <w:rPr>
      <w:rFonts w:cs="Courier New"/>
    </w:rPr>
  </w:style>
  <w:style w:type="character" w:styleId="ListLabel513" w:customStyle="1">
    <w:name w:val="ListLabel 513"/>
    <w:qFormat/>
    <w:rPr>
      <w:rFonts w:cs="Wingdings"/>
    </w:rPr>
  </w:style>
  <w:style w:type="character" w:styleId="ListLabel514" w:customStyle="1">
    <w:name w:val="ListLabel 514"/>
    <w:qFormat/>
    <w:rPr>
      <w:rFonts w:cs="Symbol"/>
    </w:rPr>
  </w:style>
  <w:style w:type="character" w:styleId="ListLabel515" w:customStyle="1">
    <w:name w:val="ListLabel 515"/>
    <w:qFormat/>
    <w:rPr>
      <w:rFonts w:cs="Courier New"/>
    </w:rPr>
  </w:style>
  <w:style w:type="character" w:styleId="ListLabel516" w:customStyle="1">
    <w:name w:val="ListLabel 516"/>
    <w:qFormat/>
    <w:rPr>
      <w:rFonts w:cs="Wingdings"/>
    </w:rPr>
  </w:style>
  <w:style w:type="character" w:styleId="ListLabel517" w:customStyle="1">
    <w:name w:val="ListLabel 517"/>
    <w:qFormat/>
    <w:rPr>
      <w:rFonts w:cs="Symbol"/>
    </w:rPr>
  </w:style>
  <w:style w:type="character" w:styleId="ListLabel518" w:customStyle="1">
    <w:name w:val="ListLabel 518"/>
    <w:qFormat/>
    <w:rPr>
      <w:rFonts w:cs="Courier New"/>
    </w:rPr>
  </w:style>
  <w:style w:type="character" w:styleId="ListLabel519" w:customStyle="1">
    <w:name w:val="ListLabel 519"/>
    <w:qFormat/>
    <w:rPr>
      <w:rFonts w:cs="Wingdings"/>
    </w:rPr>
  </w:style>
  <w:style w:type="character" w:styleId="ListLabel520" w:customStyle="1">
    <w:name w:val="ListLabel 520"/>
    <w:qFormat/>
    <w:rPr>
      <w:rFonts w:cs="Times New Roman"/>
      <w:sz w:val="20"/>
    </w:rPr>
  </w:style>
  <w:style w:type="character" w:styleId="ListLabel521" w:customStyle="1">
    <w:name w:val="ListLabel 521"/>
    <w:qFormat/>
    <w:rPr>
      <w:rFonts w:cs="Courier New"/>
    </w:rPr>
  </w:style>
  <w:style w:type="character" w:styleId="ListLabel522" w:customStyle="1">
    <w:name w:val="ListLabel 522"/>
    <w:qFormat/>
    <w:rPr>
      <w:rFonts w:cs="Wingdings"/>
    </w:rPr>
  </w:style>
  <w:style w:type="character" w:styleId="ListLabel523" w:customStyle="1">
    <w:name w:val="ListLabel 523"/>
    <w:qFormat/>
    <w:rPr>
      <w:rFonts w:cs="Symbol"/>
    </w:rPr>
  </w:style>
  <w:style w:type="character" w:styleId="ListLabel524" w:customStyle="1">
    <w:name w:val="ListLabel 524"/>
    <w:qFormat/>
    <w:rPr>
      <w:rFonts w:cs="Courier New"/>
    </w:rPr>
  </w:style>
  <w:style w:type="character" w:styleId="ListLabel525" w:customStyle="1">
    <w:name w:val="ListLabel 525"/>
    <w:qFormat/>
    <w:rPr>
      <w:rFonts w:cs="Wingdings"/>
    </w:rPr>
  </w:style>
  <w:style w:type="character" w:styleId="ListLabel526" w:customStyle="1">
    <w:name w:val="ListLabel 526"/>
    <w:qFormat/>
    <w:rPr>
      <w:rFonts w:cs="Symbol"/>
    </w:rPr>
  </w:style>
  <w:style w:type="character" w:styleId="ListLabel527" w:customStyle="1">
    <w:name w:val="ListLabel 527"/>
    <w:qFormat/>
    <w:rPr>
      <w:rFonts w:cs="Courier New"/>
    </w:rPr>
  </w:style>
  <w:style w:type="character" w:styleId="ListLabel528" w:customStyle="1">
    <w:name w:val="ListLabel 528"/>
    <w:qFormat/>
    <w:rPr>
      <w:rFonts w:cs="Wingdings"/>
    </w:rPr>
  </w:style>
  <w:style w:type="character" w:styleId="ListLabel529" w:customStyle="1">
    <w:name w:val="ListLabel 529"/>
    <w:qFormat/>
    <w:rPr>
      <w:rFonts w:cs="Symbol"/>
    </w:rPr>
  </w:style>
  <w:style w:type="character" w:styleId="ListLabel530" w:customStyle="1">
    <w:name w:val="ListLabel 530"/>
    <w:qFormat/>
    <w:rPr>
      <w:rFonts w:cs="Times New Roman"/>
      <w:sz w:val="20"/>
    </w:rPr>
  </w:style>
  <w:style w:type="character" w:styleId="ListLabel531" w:customStyle="1">
    <w:name w:val="ListLabel 531"/>
    <w:qFormat/>
    <w:rPr>
      <w:rFonts w:cs="Times New Roman"/>
      <w:sz w:val="16"/>
    </w:rPr>
  </w:style>
  <w:style w:type="character" w:styleId="ListLabel532" w:customStyle="1">
    <w:name w:val="ListLabel 532"/>
    <w:qFormat/>
    <w:rPr>
      <w:rFonts w:cs="Courier New"/>
    </w:rPr>
  </w:style>
  <w:style w:type="character" w:styleId="ListLabel533" w:customStyle="1">
    <w:name w:val="ListLabel 533"/>
    <w:qFormat/>
    <w:rPr>
      <w:rFonts w:cs="Wingdings"/>
    </w:rPr>
  </w:style>
  <w:style w:type="character" w:styleId="ListLabel534" w:customStyle="1">
    <w:name w:val="ListLabel 534"/>
    <w:qFormat/>
    <w:rPr>
      <w:rFonts w:cs="Symbol"/>
    </w:rPr>
  </w:style>
  <w:style w:type="character" w:styleId="ListLabel535" w:customStyle="1">
    <w:name w:val="ListLabel 535"/>
    <w:qFormat/>
    <w:rPr>
      <w:rFonts w:cs="Courier New"/>
    </w:rPr>
  </w:style>
  <w:style w:type="character" w:styleId="ListLabel536" w:customStyle="1">
    <w:name w:val="ListLabel 536"/>
    <w:qFormat/>
    <w:rPr>
      <w:rFonts w:cs="Wingdings"/>
    </w:rPr>
  </w:style>
  <w:style w:type="character" w:styleId="ListLabel537" w:customStyle="1">
    <w:name w:val="ListLabel 537"/>
    <w:qFormat/>
    <w:rPr>
      <w:rFonts w:cs="Symbol"/>
    </w:rPr>
  </w:style>
  <w:style w:type="character" w:styleId="ListLabel538" w:customStyle="1">
    <w:name w:val="ListLabel 538"/>
    <w:qFormat/>
    <w:rPr>
      <w:rFonts w:cs="Courier New"/>
    </w:rPr>
  </w:style>
  <w:style w:type="character" w:styleId="ListLabel539" w:customStyle="1">
    <w:name w:val="ListLabel 539"/>
    <w:qFormat/>
    <w:rPr>
      <w:rFonts w:cs="Wingdings"/>
    </w:rPr>
  </w:style>
  <w:style w:type="character" w:styleId="ListLabel540" w:customStyle="1">
    <w:name w:val="ListLabel 540"/>
    <w:qFormat/>
    <w:rPr>
      <w:rFonts w:cs="Symbol"/>
      <w:sz w:val="20"/>
    </w:rPr>
  </w:style>
  <w:style w:type="character" w:styleId="ListLabel541" w:customStyle="1">
    <w:name w:val="ListLabel 541"/>
    <w:qFormat/>
    <w:rPr>
      <w:rFonts w:cs="Courier New"/>
    </w:rPr>
  </w:style>
  <w:style w:type="character" w:styleId="ListLabel542" w:customStyle="1">
    <w:name w:val="ListLabel 542"/>
    <w:qFormat/>
    <w:rPr>
      <w:rFonts w:cs="Wingdings"/>
    </w:rPr>
  </w:style>
  <w:style w:type="character" w:styleId="ListLabel543" w:customStyle="1">
    <w:name w:val="ListLabel 543"/>
    <w:qFormat/>
    <w:rPr>
      <w:rFonts w:cs="Symbol"/>
    </w:rPr>
  </w:style>
  <w:style w:type="character" w:styleId="ListLabel544" w:customStyle="1">
    <w:name w:val="ListLabel 544"/>
    <w:qFormat/>
    <w:rPr>
      <w:rFonts w:cs="Courier New"/>
    </w:rPr>
  </w:style>
  <w:style w:type="character" w:styleId="ListLabel545" w:customStyle="1">
    <w:name w:val="ListLabel 545"/>
    <w:qFormat/>
    <w:rPr>
      <w:rFonts w:cs="Wingdings"/>
    </w:rPr>
  </w:style>
  <w:style w:type="character" w:styleId="ListLabel546" w:customStyle="1">
    <w:name w:val="ListLabel 546"/>
    <w:qFormat/>
    <w:rPr>
      <w:rFonts w:cs="Symbol"/>
    </w:rPr>
  </w:style>
  <w:style w:type="character" w:styleId="ListLabel547" w:customStyle="1">
    <w:name w:val="ListLabel 547"/>
    <w:qFormat/>
    <w:rPr>
      <w:rFonts w:cs="Courier New"/>
    </w:rPr>
  </w:style>
  <w:style w:type="character" w:styleId="ListLabel548" w:customStyle="1">
    <w:name w:val="ListLabel 548"/>
    <w:qFormat/>
    <w:rPr>
      <w:rFonts w:cs="Wingdings"/>
    </w:rPr>
  </w:style>
  <w:style w:type="character" w:styleId="ListLabel549" w:customStyle="1">
    <w:name w:val="ListLabel 549"/>
    <w:qFormat/>
    <w:rPr>
      <w:rFonts w:cs="OpenSymbol"/>
    </w:rPr>
  </w:style>
  <w:style w:type="character" w:styleId="ListLabel550" w:customStyle="1">
    <w:name w:val="ListLabel 550"/>
    <w:qFormat/>
    <w:rPr>
      <w:rFonts w:cs="OpenSymbol"/>
    </w:rPr>
  </w:style>
  <w:style w:type="character" w:styleId="ListLabel551" w:customStyle="1">
    <w:name w:val="ListLabel 551"/>
    <w:qFormat/>
    <w:rPr>
      <w:rFonts w:cs="OpenSymbol"/>
    </w:rPr>
  </w:style>
  <w:style w:type="character" w:styleId="ListLabel552" w:customStyle="1">
    <w:name w:val="ListLabel 552"/>
    <w:qFormat/>
    <w:rPr>
      <w:rFonts w:cs="OpenSymbol"/>
    </w:rPr>
  </w:style>
  <w:style w:type="character" w:styleId="ListLabel553" w:customStyle="1">
    <w:name w:val="ListLabel 553"/>
    <w:qFormat/>
    <w:rPr>
      <w:rFonts w:cs="OpenSymbol"/>
    </w:rPr>
  </w:style>
  <w:style w:type="character" w:styleId="ListLabel554" w:customStyle="1">
    <w:name w:val="ListLabel 554"/>
    <w:qFormat/>
    <w:rPr>
      <w:rFonts w:cs="OpenSymbol"/>
    </w:rPr>
  </w:style>
  <w:style w:type="character" w:styleId="ListLabel555" w:customStyle="1">
    <w:name w:val="ListLabel 555"/>
    <w:qFormat/>
    <w:rPr>
      <w:rFonts w:cs="OpenSymbol"/>
    </w:rPr>
  </w:style>
  <w:style w:type="character" w:styleId="ListLabel556" w:customStyle="1">
    <w:name w:val="ListLabel 556"/>
    <w:qFormat/>
    <w:rPr>
      <w:rFonts w:cs="OpenSymbol"/>
    </w:rPr>
  </w:style>
  <w:style w:type="character" w:styleId="ListLabel557" w:customStyle="1">
    <w:name w:val="ListLabel 557"/>
    <w:qFormat/>
    <w:rPr>
      <w:rFonts w:cs="OpenSymbol"/>
    </w:rPr>
  </w:style>
  <w:style w:type="character" w:styleId="ListLabel558" w:customStyle="1">
    <w:name w:val="ListLabel 558"/>
    <w:qFormat/>
    <w:rPr>
      <w:rFonts w:cs="OpenSymbol"/>
    </w:rPr>
  </w:style>
  <w:style w:type="character" w:styleId="ListLabel559" w:customStyle="1">
    <w:name w:val="ListLabel 559"/>
    <w:qFormat/>
    <w:rPr>
      <w:rFonts w:cs="OpenSymbol"/>
    </w:rPr>
  </w:style>
  <w:style w:type="character" w:styleId="ListLabel560" w:customStyle="1">
    <w:name w:val="ListLabel 560"/>
    <w:qFormat/>
    <w:rPr>
      <w:rFonts w:cs="OpenSymbol"/>
    </w:rPr>
  </w:style>
  <w:style w:type="character" w:styleId="ListLabel561" w:customStyle="1">
    <w:name w:val="ListLabel 561"/>
    <w:qFormat/>
    <w:rPr>
      <w:rFonts w:cs="OpenSymbol"/>
    </w:rPr>
  </w:style>
  <w:style w:type="character" w:styleId="ListLabel562" w:customStyle="1">
    <w:name w:val="ListLabel 562"/>
    <w:qFormat/>
    <w:rPr>
      <w:rFonts w:cs="OpenSymbol"/>
    </w:rPr>
  </w:style>
  <w:style w:type="character" w:styleId="ListLabel563" w:customStyle="1">
    <w:name w:val="ListLabel 563"/>
    <w:qFormat/>
    <w:rPr>
      <w:rFonts w:cs="OpenSymbol"/>
    </w:rPr>
  </w:style>
  <w:style w:type="character" w:styleId="ListLabel564" w:customStyle="1">
    <w:name w:val="ListLabel 564"/>
    <w:qFormat/>
    <w:rPr>
      <w:rFonts w:cs="OpenSymbol"/>
    </w:rPr>
  </w:style>
  <w:style w:type="character" w:styleId="ListLabel565" w:customStyle="1">
    <w:name w:val="ListLabel 565"/>
    <w:qFormat/>
    <w:rPr>
      <w:rFonts w:cs="OpenSymbol"/>
    </w:rPr>
  </w:style>
  <w:style w:type="character" w:styleId="ListLabel566" w:customStyle="1">
    <w:name w:val="ListLabel 566"/>
    <w:qFormat/>
    <w:rPr>
      <w:rFonts w:cs="OpenSymbol"/>
    </w:rPr>
  </w:style>
  <w:style w:type="character" w:styleId="ListLabel567" w:customStyle="1">
    <w:name w:val="ListLabel 567"/>
    <w:qFormat/>
    <w:rPr>
      <w:rFonts w:cs="OpenSymbol"/>
    </w:rPr>
  </w:style>
  <w:style w:type="character" w:styleId="ListLabel568" w:customStyle="1">
    <w:name w:val="ListLabel 568"/>
    <w:qFormat/>
    <w:rPr>
      <w:rFonts w:cs="OpenSymbol"/>
    </w:rPr>
  </w:style>
  <w:style w:type="character" w:styleId="ListLabel569" w:customStyle="1">
    <w:name w:val="ListLabel 569"/>
    <w:qFormat/>
    <w:rPr>
      <w:rFonts w:cs="OpenSymbol"/>
    </w:rPr>
  </w:style>
  <w:style w:type="character" w:styleId="ListLabel570" w:customStyle="1">
    <w:name w:val="ListLabel 570"/>
    <w:qFormat/>
    <w:rPr>
      <w:rFonts w:cs="OpenSymbol"/>
    </w:rPr>
  </w:style>
  <w:style w:type="character" w:styleId="ListLabel571" w:customStyle="1">
    <w:name w:val="ListLabel 571"/>
    <w:qFormat/>
    <w:rPr>
      <w:rFonts w:cs="OpenSymbol"/>
    </w:rPr>
  </w:style>
  <w:style w:type="character" w:styleId="ListLabel572" w:customStyle="1">
    <w:name w:val="ListLabel 572"/>
    <w:qFormat/>
    <w:rPr>
      <w:rFonts w:cs="OpenSymbol"/>
    </w:rPr>
  </w:style>
  <w:style w:type="character" w:styleId="ListLabel573" w:customStyle="1">
    <w:name w:val="ListLabel 573"/>
    <w:qFormat/>
    <w:rPr>
      <w:rFonts w:cs="OpenSymbol"/>
    </w:rPr>
  </w:style>
  <w:style w:type="character" w:styleId="ListLabel574" w:customStyle="1">
    <w:name w:val="ListLabel 574"/>
    <w:qFormat/>
    <w:rPr>
      <w:rFonts w:cs="OpenSymbol"/>
    </w:rPr>
  </w:style>
  <w:style w:type="character" w:styleId="ListLabel575" w:customStyle="1">
    <w:name w:val="ListLabel 575"/>
    <w:qFormat/>
    <w:rPr>
      <w:rFonts w:cs="OpenSymbol"/>
    </w:rPr>
  </w:style>
  <w:style w:type="character" w:styleId="ListLabel576" w:customStyle="1">
    <w:name w:val="ListLabel 576"/>
    <w:qFormat/>
    <w:rPr>
      <w:rFonts w:cs="OpenSymbol"/>
    </w:rPr>
  </w:style>
  <w:style w:type="character" w:styleId="ListLabel577" w:customStyle="1">
    <w:name w:val="ListLabel 577"/>
    <w:qFormat/>
    <w:rPr>
      <w:rFonts w:cs="OpenSymbol"/>
    </w:rPr>
  </w:style>
  <w:style w:type="character" w:styleId="ListLabel578" w:customStyle="1">
    <w:name w:val="ListLabel 578"/>
    <w:qFormat/>
    <w:rPr>
      <w:rFonts w:cs="OpenSymbol"/>
    </w:rPr>
  </w:style>
  <w:style w:type="character" w:styleId="ListLabel579" w:customStyle="1">
    <w:name w:val="ListLabel 579"/>
    <w:qFormat/>
    <w:rPr>
      <w:rFonts w:cs="OpenSymbol"/>
    </w:rPr>
  </w:style>
  <w:style w:type="character" w:styleId="ListLabel580" w:customStyle="1">
    <w:name w:val="ListLabel 580"/>
    <w:qFormat/>
    <w:rPr>
      <w:rFonts w:cs="OpenSymbol"/>
    </w:rPr>
  </w:style>
  <w:style w:type="character" w:styleId="ListLabel581" w:customStyle="1">
    <w:name w:val="ListLabel 581"/>
    <w:qFormat/>
    <w:rPr>
      <w:rFonts w:cs="OpenSymbol"/>
    </w:rPr>
  </w:style>
  <w:style w:type="character" w:styleId="ListLabel582" w:customStyle="1">
    <w:name w:val="ListLabel 582"/>
    <w:qFormat/>
    <w:rPr>
      <w:rFonts w:cs="OpenSymbol"/>
    </w:rPr>
  </w:style>
  <w:style w:type="character" w:styleId="ListLabel583" w:customStyle="1">
    <w:name w:val="ListLabel 583"/>
    <w:qFormat/>
    <w:rPr>
      <w:rFonts w:cs="OpenSymbol"/>
    </w:rPr>
  </w:style>
  <w:style w:type="character" w:styleId="ListLabel584" w:customStyle="1">
    <w:name w:val="ListLabel 584"/>
    <w:qFormat/>
    <w:rPr>
      <w:rFonts w:cs="OpenSymbol"/>
    </w:rPr>
  </w:style>
  <w:style w:type="character" w:styleId="ListLabel585" w:customStyle="1">
    <w:name w:val="ListLabel 585"/>
    <w:qFormat/>
    <w:rPr>
      <w:rFonts w:cs="OpenSymbol"/>
    </w:rPr>
  </w:style>
  <w:style w:type="character" w:styleId="ListLabel586" w:customStyle="1">
    <w:name w:val="ListLabel 586"/>
    <w:qFormat/>
    <w:rPr>
      <w:rFonts w:cs="OpenSymbol"/>
    </w:rPr>
  </w:style>
  <w:style w:type="character" w:styleId="ListLabel587" w:customStyle="1">
    <w:name w:val="ListLabel 587"/>
    <w:qFormat/>
    <w:rPr>
      <w:rFonts w:cs="OpenSymbol"/>
    </w:rPr>
  </w:style>
  <w:style w:type="character" w:styleId="ListLabel588" w:customStyle="1">
    <w:name w:val="ListLabel 588"/>
    <w:qFormat/>
    <w:rPr>
      <w:rFonts w:cs="OpenSymbol"/>
    </w:rPr>
  </w:style>
  <w:style w:type="character" w:styleId="ListLabel589" w:customStyle="1">
    <w:name w:val="ListLabel 589"/>
    <w:qFormat/>
    <w:rPr>
      <w:rFonts w:cs="OpenSymbol"/>
    </w:rPr>
  </w:style>
  <w:style w:type="character" w:styleId="ListLabel590" w:customStyle="1">
    <w:name w:val="ListLabel 590"/>
    <w:qFormat/>
    <w:rPr>
      <w:rFonts w:cs="OpenSymbol"/>
    </w:rPr>
  </w:style>
  <w:style w:type="character" w:styleId="ListLabel591" w:customStyle="1">
    <w:name w:val="ListLabel 591"/>
    <w:qFormat/>
    <w:rPr>
      <w:rFonts w:cs="OpenSymbol"/>
    </w:rPr>
  </w:style>
  <w:style w:type="character" w:styleId="ListLabel592" w:customStyle="1">
    <w:name w:val="ListLabel 592"/>
    <w:qFormat/>
    <w:rPr>
      <w:rFonts w:cs="OpenSymbol"/>
    </w:rPr>
  </w:style>
  <w:style w:type="character" w:styleId="ListLabel593" w:customStyle="1">
    <w:name w:val="ListLabel 593"/>
    <w:qFormat/>
    <w:rPr>
      <w:rFonts w:cs="OpenSymbol"/>
    </w:rPr>
  </w:style>
  <w:style w:type="character" w:styleId="ListLabel594" w:customStyle="1">
    <w:name w:val="ListLabel 594"/>
    <w:qFormat/>
    <w:rPr>
      <w:rFonts w:cs="OpenSymbol"/>
    </w:rPr>
  </w:style>
  <w:style w:type="character" w:styleId="ListLabel595" w:customStyle="1">
    <w:name w:val="ListLabel 595"/>
    <w:qFormat/>
    <w:rPr>
      <w:rFonts w:cs="OpenSymbol"/>
    </w:rPr>
  </w:style>
  <w:style w:type="character" w:styleId="ListLabel596" w:customStyle="1">
    <w:name w:val="ListLabel 596"/>
    <w:qFormat/>
    <w:rPr>
      <w:rFonts w:cs="OpenSymbol"/>
    </w:rPr>
  </w:style>
  <w:style w:type="character" w:styleId="ListLabel597" w:customStyle="1">
    <w:name w:val="ListLabel 597"/>
    <w:qFormat/>
    <w:rPr>
      <w:rFonts w:cs="OpenSymbol"/>
    </w:rPr>
  </w:style>
  <w:style w:type="character" w:styleId="ListLabel598" w:customStyle="1">
    <w:name w:val="ListLabel 598"/>
    <w:qFormat/>
    <w:rPr>
      <w:rFonts w:cs="OpenSymbol"/>
    </w:rPr>
  </w:style>
  <w:style w:type="character" w:styleId="ListLabel599" w:customStyle="1">
    <w:name w:val="ListLabel 599"/>
    <w:qFormat/>
    <w:rPr>
      <w:rFonts w:cs="OpenSymbol"/>
    </w:rPr>
  </w:style>
  <w:style w:type="character" w:styleId="ListLabel600" w:customStyle="1">
    <w:name w:val="ListLabel 600"/>
    <w:qFormat/>
    <w:rPr>
      <w:rFonts w:cs="OpenSymbol"/>
    </w:rPr>
  </w:style>
  <w:style w:type="character" w:styleId="ListLabel601" w:customStyle="1">
    <w:name w:val="ListLabel 601"/>
    <w:qFormat/>
    <w:rPr>
      <w:rFonts w:cs="OpenSymbol"/>
    </w:rPr>
  </w:style>
  <w:style w:type="character" w:styleId="ListLabel602" w:customStyle="1">
    <w:name w:val="ListLabel 602"/>
    <w:qFormat/>
    <w:rPr>
      <w:rFonts w:cs="OpenSymbol"/>
    </w:rPr>
  </w:style>
  <w:style w:type="character" w:styleId="ListLabel603" w:customStyle="1">
    <w:name w:val="ListLabel 603"/>
    <w:qFormat/>
    <w:rPr>
      <w:szCs w:val="20"/>
    </w:rPr>
  </w:style>
  <w:style w:type="character" w:styleId="ListLabel604" w:customStyle="1">
    <w:name w:val="ListLabel 604"/>
    <w:qFormat/>
    <w:rPr>
      <w:szCs w:val="20"/>
      <w:u w:val="none"/>
    </w:rPr>
  </w:style>
  <w:style w:type="character" w:styleId="ListLabel605" w:customStyle="1">
    <w:name w:val="ListLabel 605"/>
    <w:qFormat/>
    <w:rPr/>
  </w:style>
  <w:style w:type="character" w:styleId="ListLabel606" w:customStyle="1">
    <w:name w:val="ListLabel 606"/>
    <w:qFormat/>
    <w:rPr>
      <w:sz w:val="20"/>
      <w:szCs w:val="20"/>
      <w:u w:val="none"/>
    </w:rPr>
  </w:style>
  <w:style w:type="character" w:styleId="ListLabel607" w:customStyle="1">
    <w:name w:val="ListLabel 607"/>
    <w:qFormat/>
    <w:rPr/>
  </w:style>
  <w:style w:type="character" w:styleId="ListLabel608" w:customStyle="1">
    <w:name w:val="ListLabel 608"/>
    <w:qFormat/>
    <w:rPr>
      <w:rFonts w:ascii="apple-system;BlinkMacSystemFont" w:hAnsi="apple-system;BlinkMacSystemFont"/>
      <w:color w:val="091E42"/>
      <w:sz w:val="21"/>
    </w:rPr>
  </w:style>
  <w:style w:type="character" w:styleId="ListLabel609" w:customStyle="1">
    <w:name w:val="ListLabel 609"/>
    <w:qFormat/>
    <w:rPr>
      <w:rFonts w:cs="OpenSymbol"/>
      <w:sz w:val="20"/>
    </w:rPr>
  </w:style>
  <w:style w:type="character" w:styleId="ListLabel610" w:customStyle="1">
    <w:name w:val="ListLabel 610"/>
    <w:qFormat/>
    <w:rPr>
      <w:rFonts w:cs="OpenSymbol;Arial Unicode MS"/>
      <w:lang w:val="nl-NL"/>
    </w:rPr>
  </w:style>
  <w:style w:type="character" w:styleId="ListLabel611" w:customStyle="1">
    <w:name w:val="ListLabel 611"/>
    <w:qFormat/>
    <w:rPr>
      <w:rFonts w:cs="OpenSymbol;Arial Unicode MS"/>
      <w:lang w:val="nl-NL"/>
    </w:rPr>
  </w:style>
  <w:style w:type="character" w:styleId="ListLabel612" w:customStyle="1">
    <w:name w:val="ListLabel 612"/>
    <w:qFormat/>
    <w:rPr>
      <w:rFonts w:cs="OpenSymbol;Arial Unicode MS"/>
      <w:lang w:val="nl-NL"/>
    </w:rPr>
  </w:style>
  <w:style w:type="character" w:styleId="ListLabel613" w:customStyle="1">
    <w:name w:val="ListLabel 613"/>
    <w:qFormat/>
    <w:rPr>
      <w:rFonts w:cs="OpenSymbol;Arial Unicode MS"/>
      <w:lang w:val="nl-NL"/>
    </w:rPr>
  </w:style>
  <w:style w:type="character" w:styleId="ListLabel614" w:customStyle="1">
    <w:name w:val="ListLabel 614"/>
    <w:qFormat/>
    <w:rPr>
      <w:rFonts w:cs="OpenSymbol;Arial Unicode MS"/>
      <w:lang w:val="nl-NL"/>
    </w:rPr>
  </w:style>
  <w:style w:type="character" w:styleId="ListLabel615" w:customStyle="1">
    <w:name w:val="ListLabel 615"/>
    <w:qFormat/>
    <w:rPr>
      <w:rFonts w:cs="OpenSymbol;Arial Unicode MS"/>
      <w:lang w:val="nl-NL"/>
    </w:rPr>
  </w:style>
  <w:style w:type="character" w:styleId="ListLabel616" w:customStyle="1">
    <w:name w:val="ListLabel 616"/>
    <w:qFormat/>
    <w:rPr>
      <w:rFonts w:cs="OpenSymbol;Arial Unicode MS"/>
      <w:lang w:val="nl-NL"/>
    </w:rPr>
  </w:style>
  <w:style w:type="character" w:styleId="ListLabel617" w:customStyle="1">
    <w:name w:val="ListLabel 617"/>
    <w:qFormat/>
    <w:rPr>
      <w:rFonts w:cs="OpenSymbol;Arial Unicode MS"/>
      <w:lang w:val="nl-NL"/>
    </w:rPr>
  </w:style>
  <w:style w:type="character" w:styleId="ListLabel618" w:customStyle="1">
    <w:name w:val="ListLabel 618"/>
    <w:qFormat/>
    <w:rPr>
      <w:rFonts w:cs="OpenSymbol"/>
      <w:sz w:val="20"/>
    </w:rPr>
  </w:style>
  <w:style w:type="character" w:styleId="ListLabel619" w:customStyle="1">
    <w:name w:val="ListLabel 619"/>
    <w:qFormat/>
    <w:rPr>
      <w:rFonts w:cs="OpenSymbol"/>
    </w:rPr>
  </w:style>
  <w:style w:type="character" w:styleId="ListLabel620" w:customStyle="1">
    <w:name w:val="ListLabel 620"/>
    <w:qFormat/>
    <w:rPr>
      <w:rFonts w:cs="OpenSymbol"/>
    </w:rPr>
  </w:style>
  <w:style w:type="character" w:styleId="ListLabel621" w:customStyle="1">
    <w:name w:val="ListLabel 621"/>
    <w:qFormat/>
    <w:rPr>
      <w:rFonts w:cs="OpenSymbol"/>
    </w:rPr>
  </w:style>
  <w:style w:type="character" w:styleId="ListLabel622" w:customStyle="1">
    <w:name w:val="ListLabel 622"/>
    <w:qFormat/>
    <w:rPr>
      <w:rFonts w:cs="OpenSymbol"/>
    </w:rPr>
  </w:style>
  <w:style w:type="character" w:styleId="ListLabel623" w:customStyle="1">
    <w:name w:val="ListLabel 623"/>
    <w:qFormat/>
    <w:rPr>
      <w:rFonts w:cs="OpenSymbol"/>
    </w:rPr>
  </w:style>
  <w:style w:type="character" w:styleId="ListLabel624" w:customStyle="1">
    <w:name w:val="ListLabel 624"/>
    <w:qFormat/>
    <w:rPr>
      <w:rFonts w:cs="OpenSymbol"/>
    </w:rPr>
  </w:style>
  <w:style w:type="character" w:styleId="ListLabel625" w:customStyle="1">
    <w:name w:val="ListLabel 625"/>
    <w:qFormat/>
    <w:rPr>
      <w:rFonts w:cs="OpenSymbol"/>
    </w:rPr>
  </w:style>
  <w:style w:type="character" w:styleId="ListLabel626" w:customStyle="1">
    <w:name w:val="ListLabel 626"/>
    <w:qFormat/>
    <w:rPr>
      <w:rFonts w:cs="OpenSymbol"/>
    </w:rPr>
  </w:style>
  <w:style w:type="character" w:styleId="ListLabel627" w:customStyle="1">
    <w:name w:val="ListLabel 627"/>
    <w:qFormat/>
    <w:rPr>
      <w:rFonts w:cs="OpenSymbol"/>
      <w:sz w:val="20"/>
    </w:rPr>
  </w:style>
  <w:style w:type="character" w:styleId="ListLabel628" w:customStyle="1">
    <w:name w:val="ListLabel 628"/>
    <w:qFormat/>
    <w:rPr>
      <w:rFonts w:cs="OpenSymbol"/>
    </w:rPr>
  </w:style>
  <w:style w:type="character" w:styleId="ListLabel629" w:customStyle="1">
    <w:name w:val="ListLabel 629"/>
    <w:qFormat/>
    <w:rPr>
      <w:rFonts w:cs="OpenSymbol"/>
    </w:rPr>
  </w:style>
  <w:style w:type="character" w:styleId="ListLabel630" w:customStyle="1">
    <w:name w:val="ListLabel 630"/>
    <w:qFormat/>
    <w:rPr>
      <w:rFonts w:cs="OpenSymbol"/>
    </w:rPr>
  </w:style>
  <w:style w:type="character" w:styleId="ListLabel631" w:customStyle="1">
    <w:name w:val="ListLabel 631"/>
    <w:qFormat/>
    <w:rPr>
      <w:rFonts w:cs="OpenSymbol"/>
    </w:rPr>
  </w:style>
  <w:style w:type="character" w:styleId="ListLabel632" w:customStyle="1">
    <w:name w:val="ListLabel 632"/>
    <w:qFormat/>
    <w:rPr>
      <w:rFonts w:cs="OpenSymbol"/>
    </w:rPr>
  </w:style>
  <w:style w:type="character" w:styleId="ListLabel633" w:customStyle="1">
    <w:name w:val="ListLabel 633"/>
    <w:qFormat/>
    <w:rPr>
      <w:rFonts w:cs="OpenSymbol"/>
    </w:rPr>
  </w:style>
  <w:style w:type="character" w:styleId="ListLabel634" w:customStyle="1">
    <w:name w:val="ListLabel 634"/>
    <w:qFormat/>
    <w:rPr>
      <w:rFonts w:cs="OpenSymbol"/>
    </w:rPr>
  </w:style>
  <w:style w:type="character" w:styleId="ListLabel635" w:customStyle="1">
    <w:name w:val="ListLabel 635"/>
    <w:qFormat/>
    <w:rPr>
      <w:rFonts w:cs="OpenSymbol"/>
    </w:rPr>
  </w:style>
  <w:style w:type="character" w:styleId="ListLabel636" w:customStyle="1">
    <w:name w:val="ListLabel 636"/>
    <w:qFormat/>
    <w:rPr>
      <w:rFonts w:cs="OpenSymbol"/>
      <w:sz w:val="20"/>
    </w:rPr>
  </w:style>
  <w:style w:type="character" w:styleId="ListLabel637" w:customStyle="1">
    <w:name w:val="ListLabel 637"/>
    <w:qFormat/>
    <w:rPr>
      <w:rFonts w:cs="OpenSymbol"/>
    </w:rPr>
  </w:style>
  <w:style w:type="character" w:styleId="ListLabel638" w:customStyle="1">
    <w:name w:val="ListLabel 638"/>
    <w:qFormat/>
    <w:rPr>
      <w:rFonts w:cs="OpenSymbol"/>
    </w:rPr>
  </w:style>
  <w:style w:type="character" w:styleId="ListLabel639" w:customStyle="1">
    <w:name w:val="ListLabel 639"/>
    <w:qFormat/>
    <w:rPr>
      <w:rFonts w:cs="OpenSymbol"/>
    </w:rPr>
  </w:style>
  <w:style w:type="character" w:styleId="ListLabel640" w:customStyle="1">
    <w:name w:val="ListLabel 640"/>
    <w:qFormat/>
    <w:rPr>
      <w:rFonts w:cs="OpenSymbol"/>
    </w:rPr>
  </w:style>
  <w:style w:type="character" w:styleId="ListLabel641" w:customStyle="1">
    <w:name w:val="ListLabel 641"/>
    <w:qFormat/>
    <w:rPr>
      <w:rFonts w:cs="OpenSymbol"/>
    </w:rPr>
  </w:style>
  <w:style w:type="character" w:styleId="ListLabel642" w:customStyle="1">
    <w:name w:val="ListLabel 642"/>
    <w:qFormat/>
    <w:rPr>
      <w:rFonts w:cs="OpenSymbol"/>
    </w:rPr>
  </w:style>
  <w:style w:type="character" w:styleId="ListLabel643" w:customStyle="1">
    <w:name w:val="ListLabel 643"/>
    <w:qFormat/>
    <w:rPr>
      <w:rFonts w:cs="OpenSymbol"/>
    </w:rPr>
  </w:style>
  <w:style w:type="character" w:styleId="ListLabel644" w:customStyle="1">
    <w:name w:val="ListLabel 644"/>
    <w:qFormat/>
    <w:rPr>
      <w:rFonts w:cs="OpenSymbol"/>
    </w:rPr>
  </w:style>
  <w:style w:type="character" w:styleId="ListLabel645" w:customStyle="1">
    <w:name w:val="ListLabel 645"/>
    <w:qFormat/>
    <w:rPr>
      <w:rFonts w:cs="OpenSymbol"/>
      <w:sz w:val="20"/>
    </w:rPr>
  </w:style>
  <w:style w:type="character" w:styleId="ListLabel646" w:customStyle="1">
    <w:name w:val="ListLabel 646"/>
    <w:qFormat/>
    <w:rPr>
      <w:rFonts w:cs="OpenSymbol"/>
    </w:rPr>
  </w:style>
  <w:style w:type="character" w:styleId="ListLabel647" w:customStyle="1">
    <w:name w:val="ListLabel 647"/>
    <w:qFormat/>
    <w:rPr>
      <w:rFonts w:cs="OpenSymbol"/>
    </w:rPr>
  </w:style>
  <w:style w:type="character" w:styleId="ListLabel648" w:customStyle="1">
    <w:name w:val="ListLabel 648"/>
    <w:qFormat/>
    <w:rPr>
      <w:rFonts w:cs="OpenSymbol"/>
    </w:rPr>
  </w:style>
  <w:style w:type="character" w:styleId="ListLabel649" w:customStyle="1">
    <w:name w:val="ListLabel 649"/>
    <w:qFormat/>
    <w:rPr>
      <w:rFonts w:cs="OpenSymbol"/>
    </w:rPr>
  </w:style>
  <w:style w:type="character" w:styleId="ListLabel650" w:customStyle="1">
    <w:name w:val="ListLabel 650"/>
    <w:qFormat/>
    <w:rPr>
      <w:rFonts w:cs="OpenSymbol"/>
    </w:rPr>
  </w:style>
  <w:style w:type="character" w:styleId="ListLabel651" w:customStyle="1">
    <w:name w:val="ListLabel 651"/>
    <w:qFormat/>
    <w:rPr>
      <w:rFonts w:cs="OpenSymbol"/>
    </w:rPr>
  </w:style>
  <w:style w:type="character" w:styleId="ListLabel652" w:customStyle="1">
    <w:name w:val="ListLabel 652"/>
    <w:qFormat/>
    <w:rPr>
      <w:rFonts w:cs="OpenSymbol"/>
    </w:rPr>
  </w:style>
  <w:style w:type="character" w:styleId="ListLabel653" w:customStyle="1">
    <w:name w:val="ListLabel 653"/>
    <w:qFormat/>
    <w:rPr>
      <w:rFonts w:cs="OpenSymbol"/>
    </w:rPr>
  </w:style>
  <w:style w:type="character" w:styleId="ListLabel654" w:customStyle="1">
    <w:name w:val="ListLabel 654"/>
    <w:qFormat/>
    <w:rPr>
      <w:rFonts w:cs="OpenSymbol"/>
      <w:sz w:val="20"/>
    </w:rPr>
  </w:style>
  <w:style w:type="character" w:styleId="ListLabel655" w:customStyle="1">
    <w:name w:val="ListLabel 655"/>
    <w:qFormat/>
    <w:rPr>
      <w:rFonts w:cs="OpenSymbol"/>
    </w:rPr>
  </w:style>
  <w:style w:type="character" w:styleId="ListLabel656" w:customStyle="1">
    <w:name w:val="ListLabel 656"/>
    <w:qFormat/>
    <w:rPr>
      <w:rFonts w:cs="OpenSymbol"/>
    </w:rPr>
  </w:style>
  <w:style w:type="character" w:styleId="ListLabel657" w:customStyle="1">
    <w:name w:val="ListLabel 657"/>
    <w:qFormat/>
    <w:rPr>
      <w:rFonts w:cs="OpenSymbol"/>
    </w:rPr>
  </w:style>
  <w:style w:type="character" w:styleId="ListLabel658" w:customStyle="1">
    <w:name w:val="ListLabel 658"/>
    <w:qFormat/>
    <w:rPr>
      <w:rFonts w:cs="OpenSymbol"/>
    </w:rPr>
  </w:style>
  <w:style w:type="character" w:styleId="ListLabel659" w:customStyle="1">
    <w:name w:val="ListLabel 659"/>
    <w:qFormat/>
    <w:rPr>
      <w:rFonts w:cs="OpenSymbol"/>
    </w:rPr>
  </w:style>
  <w:style w:type="character" w:styleId="ListLabel660" w:customStyle="1">
    <w:name w:val="ListLabel 660"/>
    <w:qFormat/>
    <w:rPr>
      <w:rFonts w:cs="OpenSymbol"/>
    </w:rPr>
  </w:style>
  <w:style w:type="character" w:styleId="ListLabel661" w:customStyle="1">
    <w:name w:val="ListLabel 661"/>
    <w:qFormat/>
    <w:rPr>
      <w:rFonts w:cs="OpenSymbol"/>
    </w:rPr>
  </w:style>
  <w:style w:type="character" w:styleId="ListLabel662" w:customStyle="1">
    <w:name w:val="ListLabel 662"/>
    <w:qFormat/>
    <w:rPr>
      <w:rFonts w:cs="OpenSymbol"/>
    </w:rPr>
  </w:style>
  <w:style w:type="character" w:styleId="ListLabel663" w:customStyle="1">
    <w:name w:val="ListLabel 663"/>
    <w:qFormat/>
    <w:rPr>
      <w:rFonts w:cs="OpenSymbol"/>
      <w:sz w:val="20"/>
    </w:rPr>
  </w:style>
  <w:style w:type="character" w:styleId="ListLabel664" w:customStyle="1">
    <w:name w:val="ListLabel 664"/>
    <w:qFormat/>
    <w:rPr>
      <w:rFonts w:cs="OpenSymbol"/>
    </w:rPr>
  </w:style>
  <w:style w:type="character" w:styleId="ListLabel665" w:customStyle="1">
    <w:name w:val="ListLabel 665"/>
    <w:qFormat/>
    <w:rPr>
      <w:rFonts w:cs="OpenSymbol"/>
    </w:rPr>
  </w:style>
  <w:style w:type="character" w:styleId="ListLabel666" w:customStyle="1">
    <w:name w:val="ListLabel 666"/>
    <w:qFormat/>
    <w:rPr>
      <w:rFonts w:cs="OpenSymbol"/>
    </w:rPr>
  </w:style>
  <w:style w:type="character" w:styleId="ListLabel667" w:customStyle="1">
    <w:name w:val="ListLabel 667"/>
    <w:qFormat/>
    <w:rPr>
      <w:rFonts w:cs="OpenSymbol"/>
    </w:rPr>
  </w:style>
  <w:style w:type="character" w:styleId="ListLabel668" w:customStyle="1">
    <w:name w:val="ListLabel 668"/>
    <w:qFormat/>
    <w:rPr>
      <w:rFonts w:cs="OpenSymbol"/>
    </w:rPr>
  </w:style>
  <w:style w:type="character" w:styleId="ListLabel669" w:customStyle="1">
    <w:name w:val="ListLabel 669"/>
    <w:qFormat/>
    <w:rPr>
      <w:rFonts w:cs="OpenSymbol"/>
    </w:rPr>
  </w:style>
  <w:style w:type="character" w:styleId="ListLabel670" w:customStyle="1">
    <w:name w:val="ListLabel 670"/>
    <w:qFormat/>
    <w:rPr>
      <w:rFonts w:cs="OpenSymbol"/>
    </w:rPr>
  </w:style>
  <w:style w:type="character" w:styleId="ListLabel671" w:customStyle="1">
    <w:name w:val="ListLabel 671"/>
    <w:qFormat/>
    <w:rPr>
      <w:rFonts w:cs="OpenSymbol"/>
    </w:rPr>
  </w:style>
  <w:style w:type="character" w:styleId="ListLabel672" w:customStyle="1">
    <w:name w:val="ListLabel 672"/>
    <w:qFormat/>
    <w:rPr>
      <w:rFonts w:cs="Times New Roman"/>
      <w:sz w:val="20"/>
    </w:rPr>
  </w:style>
  <w:style w:type="character" w:styleId="ListLabel673" w:customStyle="1">
    <w:name w:val="ListLabel 673"/>
    <w:qFormat/>
    <w:rPr>
      <w:rFonts w:cs="Courier New"/>
    </w:rPr>
  </w:style>
  <w:style w:type="character" w:styleId="ListLabel674" w:customStyle="1">
    <w:name w:val="ListLabel 674"/>
    <w:qFormat/>
    <w:rPr>
      <w:rFonts w:cs="Wingdings"/>
    </w:rPr>
  </w:style>
  <w:style w:type="character" w:styleId="ListLabel675" w:customStyle="1">
    <w:name w:val="ListLabel 675"/>
    <w:qFormat/>
    <w:rPr>
      <w:rFonts w:cs="Symbol"/>
    </w:rPr>
  </w:style>
  <w:style w:type="character" w:styleId="ListLabel676" w:customStyle="1">
    <w:name w:val="ListLabel 676"/>
    <w:qFormat/>
    <w:rPr>
      <w:rFonts w:cs="Courier New"/>
    </w:rPr>
  </w:style>
  <w:style w:type="character" w:styleId="ListLabel677" w:customStyle="1">
    <w:name w:val="ListLabel 677"/>
    <w:qFormat/>
    <w:rPr>
      <w:rFonts w:cs="Wingdings"/>
    </w:rPr>
  </w:style>
  <w:style w:type="character" w:styleId="ListLabel678" w:customStyle="1">
    <w:name w:val="ListLabel 678"/>
    <w:qFormat/>
    <w:rPr>
      <w:rFonts w:cs="Symbol"/>
    </w:rPr>
  </w:style>
  <w:style w:type="character" w:styleId="ListLabel679" w:customStyle="1">
    <w:name w:val="ListLabel 679"/>
    <w:qFormat/>
    <w:rPr>
      <w:rFonts w:cs="Courier New"/>
    </w:rPr>
  </w:style>
  <w:style w:type="character" w:styleId="ListLabel680" w:customStyle="1">
    <w:name w:val="ListLabel 680"/>
    <w:qFormat/>
    <w:rPr>
      <w:rFonts w:cs="Wingdings"/>
    </w:rPr>
  </w:style>
  <w:style w:type="character" w:styleId="ListLabel681" w:customStyle="1">
    <w:name w:val="ListLabel 681"/>
    <w:qFormat/>
    <w:rPr>
      <w:rFonts w:cs="OpenSymbol"/>
      <w:sz w:val="20"/>
    </w:rPr>
  </w:style>
  <w:style w:type="character" w:styleId="ListLabel682" w:customStyle="1">
    <w:name w:val="ListLabel 682"/>
    <w:qFormat/>
    <w:rPr>
      <w:rFonts w:cs="Courier New"/>
    </w:rPr>
  </w:style>
  <w:style w:type="character" w:styleId="ListLabel683" w:customStyle="1">
    <w:name w:val="ListLabel 683"/>
    <w:qFormat/>
    <w:rPr>
      <w:rFonts w:cs="Wingdings"/>
    </w:rPr>
  </w:style>
  <w:style w:type="character" w:styleId="ListLabel684" w:customStyle="1">
    <w:name w:val="ListLabel 684"/>
    <w:qFormat/>
    <w:rPr>
      <w:rFonts w:cs="Symbol"/>
    </w:rPr>
  </w:style>
  <w:style w:type="character" w:styleId="ListLabel685" w:customStyle="1">
    <w:name w:val="ListLabel 685"/>
    <w:qFormat/>
    <w:rPr>
      <w:rFonts w:cs="Courier New"/>
    </w:rPr>
  </w:style>
  <w:style w:type="character" w:styleId="ListLabel686" w:customStyle="1">
    <w:name w:val="ListLabel 686"/>
    <w:qFormat/>
    <w:rPr>
      <w:rFonts w:cs="Wingdings"/>
    </w:rPr>
  </w:style>
  <w:style w:type="character" w:styleId="ListLabel687" w:customStyle="1">
    <w:name w:val="ListLabel 687"/>
    <w:qFormat/>
    <w:rPr>
      <w:rFonts w:cs="Symbol"/>
    </w:rPr>
  </w:style>
  <w:style w:type="character" w:styleId="ListLabel688" w:customStyle="1">
    <w:name w:val="ListLabel 688"/>
    <w:qFormat/>
    <w:rPr>
      <w:rFonts w:cs="Courier New"/>
    </w:rPr>
  </w:style>
  <w:style w:type="character" w:styleId="ListLabel689" w:customStyle="1">
    <w:name w:val="ListLabel 689"/>
    <w:qFormat/>
    <w:rPr>
      <w:rFonts w:cs="Wingdings"/>
    </w:rPr>
  </w:style>
  <w:style w:type="character" w:styleId="ListLabel690" w:customStyle="1">
    <w:name w:val="ListLabel 690"/>
    <w:qFormat/>
    <w:rPr>
      <w:rFonts w:cs="Times New Roman"/>
      <w:sz w:val="20"/>
    </w:rPr>
  </w:style>
  <w:style w:type="character" w:styleId="ListLabel691" w:customStyle="1">
    <w:name w:val="ListLabel 691"/>
    <w:qFormat/>
    <w:rPr>
      <w:rFonts w:cs="Courier New"/>
    </w:rPr>
  </w:style>
  <w:style w:type="character" w:styleId="ListLabel692" w:customStyle="1">
    <w:name w:val="ListLabel 692"/>
    <w:qFormat/>
    <w:rPr>
      <w:rFonts w:cs="Wingdings"/>
    </w:rPr>
  </w:style>
  <w:style w:type="character" w:styleId="ListLabel693" w:customStyle="1">
    <w:name w:val="ListLabel 693"/>
    <w:qFormat/>
    <w:rPr>
      <w:rFonts w:cs="Symbol"/>
    </w:rPr>
  </w:style>
  <w:style w:type="character" w:styleId="ListLabel694" w:customStyle="1">
    <w:name w:val="ListLabel 694"/>
    <w:qFormat/>
    <w:rPr>
      <w:rFonts w:cs="Courier New"/>
    </w:rPr>
  </w:style>
  <w:style w:type="character" w:styleId="ListLabel695" w:customStyle="1">
    <w:name w:val="ListLabel 695"/>
    <w:qFormat/>
    <w:rPr>
      <w:rFonts w:cs="Wingdings"/>
    </w:rPr>
  </w:style>
  <w:style w:type="character" w:styleId="ListLabel696" w:customStyle="1">
    <w:name w:val="ListLabel 696"/>
    <w:qFormat/>
    <w:rPr>
      <w:rFonts w:cs="Symbol"/>
    </w:rPr>
  </w:style>
  <w:style w:type="character" w:styleId="ListLabel697" w:customStyle="1">
    <w:name w:val="ListLabel 697"/>
    <w:qFormat/>
    <w:rPr>
      <w:rFonts w:cs="Courier New"/>
    </w:rPr>
  </w:style>
  <w:style w:type="character" w:styleId="ListLabel698" w:customStyle="1">
    <w:name w:val="ListLabel 698"/>
    <w:qFormat/>
    <w:rPr>
      <w:rFonts w:cs="Wingdings"/>
    </w:rPr>
  </w:style>
  <w:style w:type="character" w:styleId="ListLabel699" w:customStyle="1">
    <w:name w:val="ListLabel 699"/>
    <w:qFormat/>
    <w:rPr>
      <w:rFonts w:cs="Symbol"/>
    </w:rPr>
  </w:style>
  <w:style w:type="character" w:styleId="ListLabel700" w:customStyle="1">
    <w:name w:val="ListLabel 700"/>
    <w:qFormat/>
    <w:rPr>
      <w:rFonts w:cs="Times New Roman"/>
      <w:sz w:val="20"/>
    </w:rPr>
  </w:style>
  <w:style w:type="character" w:styleId="ListLabel701" w:customStyle="1">
    <w:name w:val="ListLabel 701"/>
    <w:qFormat/>
    <w:rPr>
      <w:rFonts w:cs="Times New Roman"/>
      <w:sz w:val="16"/>
    </w:rPr>
  </w:style>
  <w:style w:type="character" w:styleId="ListLabel702" w:customStyle="1">
    <w:name w:val="ListLabel 702"/>
    <w:qFormat/>
    <w:rPr>
      <w:rFonts w:cs="Courier New"/>
    </w:rPr>
  </w:style>
  <w:style w:type="character" w:styleId="ListLabel703" w:customStyle="1">
    <w:name w:val="ListLabel 703"/>
    <w:qFormat/>
    <w:rPr>
      <w:rFonts w:cs="Wingdings"/>
    </w:rPr>
  </w:style>
  <w:style w:type="character" w:styleId="ListLabel704" w:customStyle="1">
    <w:name w:val="ListLabel 704"/>
    <w:qFormat/>
    <w:rPr>
      <w:rFonts w:cs="Symbol"/>
    </w:rPr>
  </w:style>
  <w:style w:type="character" w:styleId="ListLabel705" w:customStyle="1">
    <w:name w:val="ListLabel 705"/>
    <w:qFormat/>
    <w:rPr>
      <w:rFonts w:cs="Courier New"/>
    </w:rPr>
  </w:style>
  <w:style w:type="character" w:styleId="ListLabel706" w:customStyle="1">
    <w:name w:val="ListLabel 706"/>
    <w:qFormat/>
    <w:rPr>
      <w:rFonts w:cs="Wingdings"/>
    </w:rPr>
  </w:style>
  <w:style w:type="character" w:styleId="ListLabel707" w:customStyle="1">
    <w:name w:val="ListLabel 707"/>
    <w:qFormat/>
    <w:rPr>
      <w:rFonts w:cs="Symbol"/>
    </w:rPr>
  </w:style>
  <w:style w:type="character" w:styleId="ListLabel708" w:customStyle="1">
    <w:name w:val="ListLabel 708"/>
    <w:qFormat/>
    <w:rPr>
      <w:rFonts w:cs="Courier New"/>
    </w:rPr>
  </w:style>
  <w:style w:type="character" w:styleId="ListLabel709" w:customStyle="1">
    <w:name w:val="ListLabel 709"/>
    <w:qFormat/>
    <w:rPr>
      <w:rFonts w:cs="Wingdings"/>
    </w:rPr>
  </w:style>
  <w:style w:type="character" w:styleId="ListLabel710" w:customStyle="1">
    <w:name w:val="ListLabel 710"/>
    <w:qFormat/>
    <w:rPr>
      <w:rFonts w:cs="Symbol"/>
      <w:sz w:val="20"/>
    </w:rPr>
  </w:style>
  <w:style w:type="character" w:styleId="ListLabel711" w:customStyle="1">
    <w:name w:val="ListLabel 711"/>
    <w:qFormat/>
    <w:rPr>
      <w:rFonts w:cs="Courier New"/>
    </w:rPr>
  </w:style>
  <w:style w:type="character" w:styleId="ListLabel712" w:customStyle="1">
    <w:name w:val="ListLabel 712"/>
    <w:qFormat/>
    <w:rPr>
      <w:rFonts w:cs="Wingdings"/>
    </w:rPr>
  </w:style>
  <w:style w:type="character" w:styleId="ListLabel713" w:customStyle="1">
    <w:name w:val="ListLabel 713"/>
    <w:qFormat/>
    <w:rPr>
      <w:rFonts w:cs="Symbol"/>
    </w:rPr>
  </w:style>
  <w:style w:type="character" w:styleId="ListLabel714" w:customStyle="1">
    <w:name w:val="ListLabel 714"/>
    <w:qFormat/>
    <w:rPr>
      <w:rFonts w:cs="Courier New"/>
    </w:rPr>
  </w:style>
  <w:style w:type="character" w:styleId="ListLabel715" w:customStyle="1">
    <w:name w:val="ListLabel 715"/>
    <w:qFormat/>
    <w:rPr>
      <w:rFonts w:cs="Wingdings"/>
    </w:rPr>
  </w:style>
  <w:style w:type="character" w:styleId="ListLabel716" w:customStyle="1">
    <w:name w:val="ListLabel 716"/>
    <w:qFormat/>
    <w:rPr>
      <w:rFonts w:cs="Symbol"/>
    </w:rPr>
  </w:style>
  <w:style w:type="character" w:styleId="ListLabel717" w:customStyle="1">
    <w:name w:val="ListLabel 717"/>
    <w:qFormat/>
    <w:rPr>
      <w:rFonts w:cs="Courier New"/>
    </w:rPr>
  </w:style>
  <w:style w:type="character" w:styleId="ListLabel718" w:customStyle="1">
    <w:name w:val="ListLabel 718"/>
    <w:qFormat/>
    <w:rPr>
      <w:rFonts w:cs="Wingdings"/>
    </w:rPr>
  </w:style>
  <w:style w:type="character" w:styleId="ListLabel719" w:customStyle="1">
    <w:name w:val="ListLabel 719"/>
    <w:qFormat/>
    <w:rPr>
      <w:rFonts w:cs="OpenSymbol"/>
    </w:rPr>
  </w:style>
  <w:style w:type="character" w:styleId="ListLabel720" w:customStyle="1">
    <w:name w:val="ListLabel 720"/>
    <w:qFormat/>
    <w:rPr>
      <w:rFonts w:cs="OpenSymbol"/>
    </w:rPr>
  </w:style>
  <w:style w:type="character" w:styleId="ListLabel721" w:customStyle="1">
    <w:name w:val="ListLabel 721"/>
    <w:qFormat/>
    <w:rPr>
      <w:rFonts w:cs="OpenSymbol"/>
    </w:rPr>
  </w:style>
  <w:style w:type="character" w:styleId="ListLabel722" w:customStyle="1">
    <w:name w:val="ListLabel 722"/>
    <w:qFormat/>
    <w:rPr>
      <w:rFonts w:cs="OpenSymbol"/>
    </w:rPr>
  </w:style>
  <w:style w:type="character" w:styleId="ListLabel723" w:customStyle="1">
    <w:name w:val="ListLabel 723"/>
    <w:qFormat/>
    <w:rPr>
      <w:rFonts w:cs="OpenSymbol"/>
    </w:rPr>
  </w:style>
  <w:style w:type="character" w:styleId="ListLabel724" w:customStyle="1">
    <w:name w:val="ListLabel 724"/>
    <w:qFormat/>
    <w:rPr>
      <w:rFonts w:cs="OpenSymbol"/>
    </w:rPr>
  </w:style>
  <w:style w:type="character" w:styleId="ListLabel725" w:customStyle="1">
    <w:name w:val="ListLabel 725"/>
    <w:qFormat/>
    <w:rPr>
      <w:rFonts w:cs="OpenSymbol"/>
    </w:rPr>
  </w:style>
  <w:style w:type="character" w:styleId="ListLabel726" w:customStyle="1">
    <w:name w:val="ListLabel 726"/>
    <w:qFormat/>
    <w:rPr>
      <w:rFonts w:cs="OpenSymbol"/>
    </w:rPr>
  </w:style>
  <w:style w:type="character" w:styleId="ListLabel727" w:customStyle="1">
    <w:name w:val="ListLabel 727"/>
    <w:qFormat/>
    <w:rPr>
      <w:rFonts w:cs="OpenSymbol"/>
    </w:rPr>
  </w:style>
  <w:style w:type="character" w:styleId="ListLabel728" w:customStyle="1">
    <w:name w:val="ListLabel 728"/>
    <w:qFormat/>
    <w:rPr>
      <w:rFonts w:cs="OpenSymbol"/>
    </w:rPr>
  </w:style>
  <w:style w:type="character" w:styleId="ListLabel729" w:customStyle="1">
    <w:name w:val="ListLabel 729"/>
    <w:qFormat/>
    <w:rPr>
      <w:rFonts w:cs="OpenSymbol"/>
    </w:rPr>
  </w:style>
  <w:style w:type="character" w:styleId="ListLabel730" w:customStyle="1">
    <w:name w:val="ListLabel 730"/>
    <w:qFormat/>
    <w:rPr>
      <w:rFonts w:cs="OpenSymbol"/>
    </w:rPr>
  </w:style>
  <w:style w:type="character" w:styleId="ListLabel731" w:customStyle="1">
    <w:name w:val="ListLabel 731"/>
    <w:qFormat/>
    <w:rPr>
      <w:rFonts w:cs="OpenSymbol"/>
    </w:rPr>
  </w:style>
  <w:style w:type="character" w:styleId="ListLabel732" w:customStyle="1">
    <w:name w:val="ListLabel 732"/>
    <w:qFormat/>
    <w:rPr>
      <w:rFonts w:cs="OpenSymbol"/>
    </w:rPr>
  </w:style>
  <w:style w:type="character" w:styleId="ListLabel733" w:customStyle="1">
    <w:name w:val="ListLabel 733"/>
    <w:qFormat/>
    <w:rPr>
      <w:rFonts w:cs="OpenSymbol"/>
    </w:rPr>
  </w:style>
  <w:style w:type="character" w:styleId="ListLabel734" w:customStyle="1">
    <w:name w:val="ListLabel 734"/>
    <w:qFormat/>
    <w:rPr>
      <w:rFonts w:cs="OpenSymbol"/>
    </w:rPr>
  </w:style>
  <w:style w:type="character" w:styleId="ListLabel735" w:customStyle="1">
    <w:name w:val="ListLabel 735"/>
    <w:qFormat/>
    <w:rPr>
      <w:rFonts w:cs="OpenSymbol"/>
    </w:rPr>
  </w:style>
  <w:style w:type="character" w:styleId="ListLabel736" w:customStyle="1">
    <w:name w:val="ListLabel 736"/>
    <w:qFormat/>
    <w:rPr>
      <w:rFonts w:cs="OpenSymbol"/>
    </w:rPr>
  </w:style>
  <w:style w:type="character" w:styleId="ListLabel737" w:customStyle="1">
    <w:name w:val="ListLabel 737"/>
    <w:qFormat/>
    <w:rPr>
      <w:rFonts w:cs="OpenSymbol"/>
    </w:rPr>
  </w:style>
  <w:style w:type="character" w:styleId="ListLabel738" w:customStyle="1">
    <w:name w:val="ListLabel 738"/>
    <w:qFormat/>
    <w:rPr>
      <w:rFonts w:cs="OpenSymbol"/>
    </w:rPr>
  </w:style>
  <w:style w:type="character" w:styleId="ListLabel739" w:customStyle="1">
    <w:name w:val="ListLabel 739"/>
    <w:qFormat/>
    <w:rPr>
      <w:rFonts w:cs="OpenSymbol"/>
    </w:rPr>
  </w:style>
  <w:style w:type="character" w:styleId="ListLabel740" w:customStyle="1">
    <w:name w:val="ListLabel 740"/>
    <w:qFormat/>
    <w:rPr>
      <w:rFonts w:cs="OpenSymbol"/>
    </w:rPr>
  </w:style>
  <w:style w:type="character" w:styleId="ListLabel741" w:customStyle="1">
    <w:name w:val="ListLabel 741"/>
    <w:qFormat/>
    <w:rPr>
      <w:rFonts w:cs="OpenSymbol"/>
    </w:rPr>
  </w:style>
  <w:style w:type="character" w:styleId="ListLabel742" w:customStyle="1">
    <w:name w:val="ListLabel 742"/>
    <w:qFormat/>
    <w:rPr>
      <w:rFonts w:cs="OpenSymbol"/>
    </w:rPr>
  </w:style>
  <w:style w:type="character" w:styleId="ListLabel743" w:customStyle="1">
    <w:name w:val="ListLabel 743"/>
    <w:qFormat/>
    <w:rPr>
      <w:rFonts w:cs="OpenSymbol"/>
    </w:rPr>
  </w:style>
  <w:style w:type="character" w:styleId="ListLabel744" w:customStyle="1">
    <w:name w:val="ListLabel 744"/>
    <w:qFormat/>
    <w:rPr>
      <w:rFonts w:cs="OpenSymbol"/>
    </w:rPr>
  </w:style>
  <w:style w:type="character" w:styleId="ListLabel745" w:customStyle="1">
    <w:name w:val="ListLabel 745"/>
    <w:qFormat/>
    <w:rPr>
      <w:rFonts w:cs="OpenSymbol"/>
    </w:rPr>
  </w:style>
  <w:style w:type="character" w:styleId="ListLabel746" w:customStyle="1">
    <w:name w:val="ListLabel 746"/>
    <w:qFormat/>
    <w:rPr>
      <w:rFonts w:cs="OpenSymbol"/>
    </w:rPr>
  </w:style>
  <w:style w:type="character" w:styleId="ListLabel747" w:customStyle="1">
    <w:name w:val="ListLabel 747"/>
    <w:qFormat/>
    <w:rPr>
      <w:rFonts w:cs="OpenSymbol"/>
    </w:rPr>
  </w:style>
  <w:style w:type="character" w:styleId="ListLabel748" w:customStyle="1">
    <w:name w:val="ListLabel 748"/>
    <w:qFormat/>
    <w:rPr>
      <w:rFonts w:cs="OpenSymbol"/>
    </w:rPr>
  </w:style>
  <w:style w:type="character" w:styleId="ListLabel749" w:customStyle="1">
    <w:name w:val="ListLabel 749"/>
    <w:qFormat/>
    <w:rPr>
      <w:rFonts w:cs="OpenSymbol"/>
    </w:rPr>
  </w:style>
  <w:style w:type="character" w:styleId="ListLabel750" w:customStyle="1">
    <w:name w:val="ListLabel 750"/>
    <w:qFormat/>
    <w:rPr>
      <w:rFonts w:cs="OpenSymbol"/>
    </w:rPr>
  </w:style>
  <w:style w:type="character" w:styleId="ListLabel751" w:customStyle="1">
    <w:name w:val="ListLabel 751"/>
    <w:qFormat/>
    <w:rPr>
      <w:rFonts w:cs="OpenSymbol"/>
    </w:rPr>
  </w:style>
  <w:style w:type="character" w:styleId="ListLabel752" w:customStyle="1">
    <w:name w:val="ListLabel 752"/>
    <w:qFormat/>
    <w:rPr>
      <w:rFonts w:cs="OpenSymbol"/>
    </w:rPr>
  </w:style>
  <w:style w:type="character" w:styleId="ListLabel753" w:customStyle="1">
    <w:name w:val="ListLabel 753"/>
    <w:qFormat/>
    <w:rPr>
      <w:rFonts w:cs="OpenSymbol"/>
    </w:rPr>
  </w:style>
  <w:style w:type="character" w:styleId="ListLabel754" w:customStyle="1">
    <w:name w:val="ListLabel 754"/>
    <w:qFormat/>
    <w:rPr>
      <w:rFonts w:cs="OpenSymbol"/>
    </w:rPr>
  </w:style>
  <w:style w:type="character" w:styleId="ListLabel755" w:customStyle="1">
    <w:name w:val="ListLabel 755"/>
    <w:qFormat/>
    <w:rPr>
      <w:rFonts w:cs="OpenSymbol"/>
    </w:rPr>
  </w:style>
  <w:style w:type="character" w:styleId="ListLabel756" w:customStyle="1">
    <w:name w:val="ListLabel 756"/>
    <w:qFormat/>
    <w:rPr>
      <w:rFonts w:cs="OpenSymbol"/>
    </w:rPr>
  </w:style>
  <w:style w:type="character" w:styleId="ListLabel757" w:customStyle="1">
    <w:name w:val="ListLabel 757"/>
    <w:qFormat/>
    <w:rPr>
      <w:rFonts w:cs="OpenSymbol"/>
    </w:rPr>
  </w:style>
  <w:style w:type="character" w:styleId="ListLabel758" w:customStyle="1">
    <w:name w:val="ListLabel 758"/>
    <w:qFormat/>
    <w:rPr>
      <w:rFonts w:cs="OpenSymbol"/>
    </w:rPr>
  </w:style>
  <w:style w:type="character" w:styleId="ListLabel759" w:customStyle="1">
    <w:name w:val="ListLabel 759"/>
    <w:qFormat/>
    <w:rPr>
      <w:rFonts w:cs="OpenSymbol"/>
    </w:rPr>
  </w:style>
  <w:style w:type="character" w:styleId="ListLabel760" w:customStyle="1">
    <w:name w:val="ListLabel 760"/>
    <w:qFormat/>
    <w:rPr>
      <w:rFonts w:cs="OpenSymbol"/>
    </w:rPr>
  </w:style>
  <w:style w:type="character" w:styleId="ListLabel761" w:customStyle="1">
    <w:name w:val="ListLabel 761"/>
    <w:qFormat/>
    <w:rPr>
      <w:rFonts w:cs="OpenSymbol"/>
    </w:rPr>
  </w:style>
  <w:style w:type="character" w:styleId="ListLabel762" w:customStyle="1">
    <w:name w:val="ListLabel 762"/>
    <w:qFormat/>
    <w:rPr>
      <w:rFonts w:cs="OpenSymbol"/>
    </w:rPr>
  </w:style>
  <w:style w:type="character" w:styleId="ListLabel763" w:customStyle="1">
    <w:name w:val="ListLabel 763"/>
    <w:qFormat/>
    <w:rPr>
      <w:rFonts w:cs="OpenSymbol"/>
    </w:rPr>
  </w:style>
  <w:style w:type="character" w:styleId="ListLabel764" w:customStyle="1">
    <w:name w:val="ListLabel 764"/>
    <w:qFormat/>
    <w:rPr>
      <w:rFonts w:cs="OpenSymbol"/>
    </w:rPr>
  </w:style>
  <w:style w:type="character" w:styleId="ListLabel765" w:customStyle="1">
    <w:name w:val="ListLabel 765"/>
    <w:qFormat/>
    <w:rPr>
      <w:rFonts w:cs="OpenSymbol"/>
    </w:rPr>
  </w:style>
  <w:style w:type="character" w:styleId="ListLabel766" w:customStyle="1">
    <w:name w:val="ListLabel 766"/>
    <w:qFormat/>
    <w:rPr>
      <w:rFonts w:cs="OpenSymbol"/>
    </w:rPr>
  </w:style>
  <w:style w:type="character" w:styleId="ListLabel767" w:customStyle="1">
    <w:name w:val="ListLabel 767"/>
    <w:qFormat/>
    <w:rPr>
      <w:rFonts w:cs="OpenSymbol"/>
    </w:rPr>
  </w:style>
  <w:style w:type="character" w:styleId="ListLabel768" w:customStyle="1">
    <w:name w:val="ListLabel 768"/>
    <w:qFormat/>
    <w:rPr>
      <w:rFonts w:cs="OpenSymbol"/>
    </w:rPr>
  </w:style>
  <w:style w:type="character" w:styleId="ListLabel769" w:customStyle="1">
    <w:name w:val="ListLabel 769"/>
    <w:qFormat/>
    <w:rPr>
      <w:rFonts w:cs="OpenSymbol"/>
    </w:rPr>
  </w:style>
  <w:style w:type="character" w:styleId="ListLabel770" w:customStyle="1">
    <w:name w:val="ListLabel 770"/>
    <w:qFormat/>
    <w:rPr>
      <w:rFonts w:cs="OpenSymbol"/>
    </w:rPr>
  </w:style>
  <w:style w:type="character" w:styleId="ListLabel771" w:customStyle="1">
    <w:name w:val="ListLabel 771"/>
    <w:qFormat/>
    <w:rPr>
      <w:rFonts w:cs="OpenSymbol"/>
    </w:rPr>
  </w:style>
  <w:style w:type="character" w:styleId="ListLabel772" w:customStyle="1">
    <w:name w:val="ListLabel 772"/>
    <w:qFormat/>
    <w:rPr>
      <w:rFonts w:cs="OpenSymbol"/>
    </w:rPr>
  </w:style>
  <w:style w:type="character" w:styleId="ListLabel773" w:customStyle="1">
    <w:name w:val="ListLabel 773"/>
    <w:qFormat/>
    <w:rPr>
      <w:szCs w:val="20"/>
    </w:rPr>
  </w:style>
  <w:style w:type="character" w:styleId="ListLabel774" w:customStyle="1">
    <w:name w:val="ListLabel 774"/>
    <w:qFormat/>
    <w:rPr>
      <w:szCs w:val="20"/>
      <w:u w:val="none"/>
    </w:rPr>
  </w:style>
  <w:style w:type="character" w:styleId="ListLabel775" w:customStyle="1">
    <w:name w:val="ListLabel 775"/>
    <w:qFormat/>
    <w:rPr/>
  </w:style>
  <w:style w:type="character" w:styleId="ListLabel776" w:customStyle="1">
    <w:name w:val="ListLabel 776"/>
    <w:qFormat/>
    <w:rPr>
      <w:sz w:val="20"/>
      <w:szCs w:val="20"/>
      <w:u w:val="none"/>
    </w:rPr>
  </w:style>
  <w:style w:type="character" w:styleId="ListLabel777" w:customStyle="1">
    <w:name w:val="ListLabel 777"/>
    <w:qFormat/>
    <w:rPr/>
  </w:style>
  <w:style w:type="character" w:styleId="ListLabel778" w:customStyle="1">
    <w:name w:val="ListLabel 778"/>
    <w:qFormat/>
    <w:rPr>
      <w:rFonts w:ascii="apple-system;BlinkMacSystemFont" w:hAnsi="apple-system;BlinkMacSystemFont"/>
      <w:color w:val="091E42"/>
      <w:sz w:val="21"/>
    </w:rPr>
  </w:style>
  <w:style w:type="character" w:styleId="ListLabel779" w:customStyle="1">
    <w:name w:val="ListLabel 779"/>
    <w:qFormat/>
    <w:rPr>
      <w:rFonts w:ascii="Arial;sans-serif" w:hAnsi="Arial;sans-serif"/>
      <w:b w:val="false"/>
      <w:i w:val="false"/>
      <w:caps w:val="false"/>
      <w:smallCaps w:val="false"/>
      <w:color w:val="800080"/>
      <w:spacing w:val="0"/>
      <w:sz w:val="20"/>
      <w:szCs w:val="20"/>
      <w:u w:val="single"/>
    </w:rPr>
  </w:style>
  <w:style w:type="character" w:styleId="ListLabel780" w:customStyle="1">
    <w:name w:val="ListLabel 780"/>
    <w:qFormat/>
    <w:rPr>
      <w:rFonts w:cs="OpenSymbol"/>
      <w:sz w:val="20"/>
    </w:rPr>
  </w:style>
  <w:style w:type="character" w:styleId="ListLabel781" w:customStyle="1">
    <w:name w:val="ListLabel 781"/>
    <w:qFormat/>
    <w:rPr>
      <w:rFonts w:cs="OpenSymbol;Arial Unicode MS"/>
      <w:lang w:val="nl-NL"/>
    </w:rPr>
  </w:style>
  <w:style w:type="character" w:styleId="ListLabel782" w:customStyle="1">
    <w:name w:val="ListLabel 782"/>
    <w:qFormat/>
    <w:rPr>
      <w:rFonts w:cs="OpenSymbol;Arial Unicode MS"/>
      <w:lang w:val="nl-NL"/>
    </w:rPr>
  </w:style>
  <w:style w:type="character" w:styleId="ListLabel783" w:customStyle="1">
    <w:name w:val="ListLabel 783"/>
    <w:qFormat/>
    <w:rPr>
      <w:rFonts w:cs="OpenSymbol;Arial Unicode MS"/>
      <w:lang w:val="nl-NL"/>
    </w:rPr>
  </w:style>
  <w:style w:type="character" w:styleId="ListLabel784" w:customStyle="1">
    <w:name w:val="ListLabel 784"/>
    <w:qFormat/>
    <w:rPr>
      <w:rFonts w:cs="OpenSymbol;Arial Unicode MS"/>
      <w:lang w:val="nl-NL"/>
    </w:rPr>
  </w:style>
  <w:style w:type="character" w:styleId="ListLabel785" w:customStyle="1">
    <w:name w:val="ListLabel 785"/>
    <w:qFormat/>
    <w:rPr>
      <w:rFonts w:cs="OpenSymbol;Arial Unicode MS"/>
      <w:lang w:val="nl-NL"/>
    </w:rPr>
  </w:style>
  <w:style w:type="character" w:styleId="ListLabel786" w:customStyle="1">
    <w:name w:val="ListLabel 786"/>
    <w:qFormat/>
    <w:rPr>
      <w:rFonts w:cs="OpenSymbol;Arial Unicode MS"/>
      <w:lang w:val="nl-NL"/>
    </w:rPr>
  </w:style>
  <w:style w:type="character" w:styleId="ListLabel787" w:customStyle="1">
    <w:name w:val="ListLabel 787"/>
    <w:qFormat/>
    <w:rPr>
      <w:rFonts w:cs="OpenSymbol;Arial Unicode MS"/>
      <w:lang w:val="nl-NL"/>
    </w:rPr>
  </w:style>
  <w:style w:type="character" w:styleId="ListLabel788" w:customStyle="1">
    <w:name w:val="ListLabel 788"/>
    <w:qFormat/>
    <w:rPr>
      <w:rFonts w:cs="OpenSymbol;Arial Unicode MS"/>
      <w:lang w:val="nl-NL"/>
    </w:rPr>
  </w:style>
  <w:style w:type="character" w:styleId="ListLabel789" w:customStyle="1">
    <w:name w:val="ListLabel 789"/>
    <w:qFormat/>
    <w:rPr>
      <w:rFonts w:cs="OpenSymbol"/>
      <w:sz w:val="20"/>
    </w:rPr>
  </w:style>
  <w:style w:type="character" w:styleId="ListLabel790" w:customStyle="1">
    <w:name w:val="ListLabel 790"/>
    <w:qFormat/>
    <w:rPr>
      <w:rFonts w:cs="OpenSymbol"/>
    </w:rPr>
  </w:style>
  <w:style w:type="character" w:styleId="ListLabel791" w:customStyle="1">
    <w:name w:val="ListLabel 791"/>
    <w:qFormat/>
    <w:rPr>
      <w:rFonts w:cs="OpenSymbol"/>
    </w:rPr>
  </w:style>
  <w:style w:type="character" w:styleId="ListLabel792" w:customStyle="1">
    <w:name w:val="ListLabel 792"/>
    <w:qFormat/>
    <w:rPr>
      <w:rFonts w:cs="OpenSymbol"/>
    </w:rPr>
  </w:style>
  <w:style w:type="character" w:styleId="ListLabel793" w:customStyle="1">
    <w:name w:val="ListLabel 793"/>
    <w:qFormat/>
    <w:rPr>
      <w:rFonts w:cs="OpenSymbol"/>
    </w:rPr>
  </w:style>
  <w:style w:type="character" w:styleId="ListLabel794" w:customStyle="1">
    <w:name w:val="ListLabel 794"/>
    <w:qFormat/>
    <w:rPr>
      <w:rFonts w:cs="OpenSymbol"/>
    </w:rPr>
  </w:style>
  <w:style w:type="character" w:styleId="ListLabel795" w:customStyle="1">
    <w:name w:val="ListLabel 795"/>
    <w:qFormat/>
    <w:rPr>
      <w:rFonts w:cs="OpenSymbol"/>
    </w:rPr>
  </w:style>
  <w:style w:type="character" w:styleId="ListLabel796" w:customStyle="1">
    <w:name w:val="ListLabel 796"/>
    <w:qFormat/>
    <w:rPr>
      <w:rFonts w:cs="OpenSymbol"/>
    </w:rPr>
  </w:style>
  <w:style w:type="character" w:styleId="ListLabel797" w:customStyle="1">
    <w:name w:val="ListLabel 797"/>
    <w:qFormat/>
    <w:rPr>
      <w:rFonts w:cs="OpenSymbol"/>
    </w:rPr>
  </w:style>
  <w:style w:type="character" w:styleId="ListLabel798" w:customStyle="1">
    <w:name w:val="ListLabel 798"/>
    <w:qFormat/>
    <w:rPr>
      <w:rFonts w:cs="OpenSymbol"/>
      <w:sz w:val="20"/>
    </w:rPr>
  </w:style>
  <w:style w:type="character" w:styleId="ListLabel799" w:customStyle="1">
    <w:name w:val="ListLabel 799"/>
    <w:qFormat/>
    <w:rPr>
      <w:rFonts w:cs="OpenSymbol"/>
    </w:rPr>
  </w:style>
  <w:style w:type="character" w:styleId="ListLabel800" w:customStyle="1">
    <w:name w:val="ListLabel 800"/>
    <w:qFormat/>
    <w:rPr>
      <w:rFonts w:cs="OpenSymbol"/>
    </w:rPr>
  </w:style>
  <w:style w:type="character" w:styleId="ListLabel801" w:customStyle="1">
    <w:name w:val="ListLabel 801"/>
    <w:qFormat/>
    <w:rPr>
      <w:rFonts w:cs="OpenSymbol"/>
    </w:rPr>
  </w:style>
  <w:style w:type="character" w:styleId="ListLabel802" w:customStyle="1">
    <w:name w:val="ListLabel 802"/>
    <w:qFormat/>
    <w:rPr>
      <w:rFonts w:cs="OpenSymbol"/>
    </w:rPr>
  </w:style>
  <w:style w:type="character" w:styleId="ListLabel803" w:customStyle="1">
    <w:name w:val="ListLabel 803"/>
    <w:qFormat/>
    <w:rPr>
      <w:rFonts w:cs="OpenSymbol"/>
    </w:rPr>
  </w:style>
  <w:style w:type="character" w:styleId="ListLabel804" w:customStyle="1">
    <w:name w:val="ListLabel 804"/>
    <w:qFormat/>
    <w:rPr>
      <w:rFonts w:cs="OpenSymbol"/>
    </w:rPr>
  </w:style>
  <w:style w:type="character" w:styleId="ListLabel805" w:customStyle="1">
    <w:name w:val="ListLabel 805"/>
    <w:qFormat/>
    <w:rPr>
      <w:rFonts w:cs="OpenSymbol"/>
    </w:rPr>
  </w:style>
  <w:style w:type="character" w:styleId="ListLabel806" w:customStyle="1">
    <w:name w:val="ListLabel 806"/>
    <w:qFormat/>
    <w:rPr>
      <w:rFonts w:cs="OpenSymbol"/>
    </w:rPr>
  </w:style>
  <w:style w:type="character" w:styleId="ListLabel807" w:customStyle="1">
    <w:name w:val="ListLabel 807"/>
    <w:qFormat/>
    <w:rPr>
      <w:rFonts w:cs="OpenSymbol"/>
      <w:sz w:val="20"/>
    </w:rPr>
  </w:style>
  <w:style w:type="character" w:styleId="ListLabel808" w:customStyle="1">
    <w:name w:val="ListLabel 808"/>
    <w:qFormat/>
    <w:rPr>
      <w:rFonts w:cs="OpenSymbol"/>
    </w:rPr>
  </w:style>
  <w:style w:type="character" w:styleId="ListLabel809" w:customStyle="1">
    <w:name w:val="ListLabel 809"/>
    <w:qFormat/>
    <w:rPr>
      <w:rFonts w:cs="OpenSymbol"/>
    </w:rPr>
  </w:style>
  <w:style w:type="character" w:styleId="ListLabel810" w:customStyle="1">
    <w:name w:val="ListLabel 810"/>
    <w:qFormat/>
    <w:rPr>
      <w:rFonts w:cs="OpenSymbol"/>
    </w:rPr>
  </w:style>
  <w:style w:type="character" w:styleId="ListLabel811" w:customStyle="1">
    <w:name w:val="ListLabel 811"/>
    <w:qFormat/>
    <w:rPr>
      <w:rFonts w:cs="OpenSymbol"/>
    </w:rPr>
  </w:style>
  <w:style w:type="character" w:styleId="ListLabel812" w:customStyle="1">
    <w:name w:val="ListLabel 812"/>
    <w:qFormat/>
    <w:rPr>
      <w:rFonts w:cs="OpenSymbol"/>
    </w:rPr>
  </w:style>
  <w:style w:type="character" w:styleId="ListLabel813" w:customStyle="1">
    <w:name w:val="ListLabel 813"/>
    <w:qFormat/>
    <w:rPr>
      <w:rFonts w:cs="OpenSymbol"/>
    </w:rPr>
  </w:style>
  <w:style w:type="character" w:styleId="ListLabel814" w:customStyle="1">
    <w:name w:val="ListLabel 814"/>
    <w:qFormat/>
    <w:rPr>
      <w:rFonts w:cs="OpenSymbol"/>
    </w:rPr>
  </w:style>
  <w:style w:type="character" w:styleId="ListLabel815" w:customStyle="1">
    <w:name w:val="ListLabel 815"/>
    <w:qFormat/>
    <w:rPr>
      <w:rFonts w:cs="OpenSymbol"/>
    </w:rPr>
  </w:style>
  <w:style w:type="character" w:styleId="ListLabel816" w:customStyle="1">
    <w:name w:val="ListLabel 816"/>
    <w:qFormat/>
    <w:rPr>
      <w:rFonts w:cs="OpenSymbol"/>
      <w:sz w:val="20"/>
    </w:rPr>
  </w:style>
  <w:style w:type="character" w:styleId="ListLabel817" w:customStyle="1">
    <w:name w:val="ListLabel 817"/>
    <w:qFormat/>
    <w:rPr>
      <w:rFonts w:cs="OpenSymbol"/>
    </w:rPr>
  </w:style>
  <w:style w:type="character" w:styleId="ListLabel818" w:customStyle="1">
    <w:name w:val="ListLabel 818"/>
    <w:qFormat/>
    <w:rPr>
      <w:rFonts w:cs="OpenSymbol"/>
    </w:rPr>
  </w:style>
  <w:style w:type="character" w:styleId="ListLabel819" w:customStyle="1">
    <w:name w:val="ListLabel 819"/>
    <w:qFormat/>
    <w:rPr>
      <w:rFonts w:cs="OpenSymbol"/>
    </w:rPr>
  </w:style>
  <w:style w:type="character" w:styleId="ListLabel820" w:customStyle="1">
    <w:name w:val="ListLabel 820"/>
    <w:qFormat/>
    <w:rPr>
      <w:rFonts w:cs="OpenSymbol"/>
    </w:rPr>
  </w:style>
  <w:style w:type="character" w:styleId="ListLabel821" w:customStyle="1">
    <w:name w:val="ListLabel 821"/>
    <w:qFormat/>
    <w:rPr>
      <w:rFonts w:cs="OpenSymbol"/>
    </w:rPr>
  </w:style>
  <w:style w:type="character" w:styleId="ListLabel822" w:customStyle="1">
    <w:name w:val="ListLabel 822"/>
    <w:qFormat/>
    <w:rPr>
      <w:rFonts w:cs="OpenSymbol"/>
    </w:rPr>
  </w:style>
  <w:style w:type="character" w:styleId="ListLabel823" w:customStyle="1">
    <w:name w:val="ListLabel 823"/>
    <w:qFormat/>
    <w:rPr>
      <w:rFonts w:cs="OpenSymbol"/>
    </w:rPr>
  </w:style>
  <w:style w:type="character" w:styleId="ListLabel824" w:customStyle="1">
    <w:name w:val="ListLabel 824"/>
    <w:qFormat/>
    <w:rPr>
      <w:rFonts w:cs="OpenSymbol"/>
    </w:rPr>
  </w:style>
  <w:style w:type="character" w:styleId="ListLabel825" w:customStyle="1">
    <w:name w:val="ListLabel 825"/>
    <w:qFormat/>
    <w:rPr>
      <w:rFonts w:cs="OpenSymbol"/>
      <w:sz w:val="20"/>
    </w:rPr>
  </w:style>
  <w:style w:type="character" w:styleId="ListLabel826" w:customStyle="1">
    <w:name w:val="ListLabel 826"/>
    <w:qFormat/>
    <w:rPr>
      <w:rFonts w:cs="OpenSymbol"/>
    </w:rPr>
  </w:style>
  <w:style w:type="character" w:styleId="ListLabel827" w:customStyle="1">
    <w:name w:val="ListLabel 827"/>
    <w:qFormat/>
    <w:rPr>
      <w:rFonts w:cs="OpenSymbol"/>
    </w:rPr>
  </w:style>
  <w:style w:type="character" w:styleId="ListLabel828" w:customStyle="1">
    <w:name w:val="ListLabel 828"/>
    <w:qFormat/>
    <w:rPr>
      <w:rFonts w:cs="OpenSymbol"/>
    </w:rPr>
  </w:style>
  <w:style w:type="character" w:styleId="ListLabel829" w:customStyle="1">
    <w:name w:val="ListLabel 829"/>
    <w:qFormat/>
    <w:rPr>
      <w:rFonts w:cs="OpenSymbol"/>
    </w:rPr>
  </w:style>
  <w:style w:type="character" w:styleId="ListLabel830" w:customStyle="1">
    <w:name w:val="ListLabel 830"/>
    <w:qFormat/>
    <w:rPr>
      <w:rFonts w:cs="OpenSymbol"/>
    </w:rPr>
  </w:style>
  <w:style w:type="character" w:styleId="ListLabel831" w:customStyle="1">
    <w:name w:val="ListLabel 831"/>
    <w:qFormat/>
    <w:rPr>
      <w:rFonts w:cs="OpenSymbol"/>
    </w:rPr>
  </w:style>
  <w:style w:type="character" w:styleId="ListLabel832" w:customStyle="1">
    <w:name w:val="ListLabel 832"/>
    <w:qFormat/>
    <w:rPr>
      <w:rFonts w:cs="OpenSymbol"/>
    </w:rPr>
  </w:style>
  <w:style w:type="character" w:styleId="ListLabel833" w:customStyle="1">
    <w:name w:val="ListLabel 833"/>
    <w:qFormat/>
    <w:rPr>
      <w:rFonts w:cs="OpenSymbol"/>
    </w:rPr>
  </w:style>
  <w:style w:type="character" w:styleId="ListLabel834" w:customStyle="1">
    <w:name w:val="ListLabel 834"/>
    <w:qFormat/>
    <w:rPr>
      <w:rFonts w:cs="OpenSymbol"/>
      <w:sz w:val="20"/>
    </w:rPr>
  </w:style>
  <w:style w:type="character" w:styleId="ListLabel835" w:customStyle="1">
    <w:name w:val="ListLabel 835"/>
    <w:qFormat/>
    <w:rPr>
      <w:rFonts w:cs="OpenSymbol"/>
    </w:rPr>
  </w:style>
  <w:style w:type="character" w:styleId="ListLabel836" w:customStyle="1">
    <w:name w:val="ListLabel 836"/>
    <w:qFormat/>
    <w:rPr>
      <w:rFonts w:cs="OpenSymbol"/>
    </w:rPr>
  </w:style>
  <w:style w:type="character" w:styleId="ListLabel837" w:customStyle="1">
    <w:name w:val="ListLabel 837"/>
    <w:qFormat/>
    <w:rPr>
      <w:rFonts w:cs="OpenSymbol"/>
    </w:rPr>
  </w:style>
  <w:style w:type="character" w:styleId="ListLabel838" w:customStyle="1">
    <w:name w:val="ListLabel 838"/>
    <w:qFormat/>
    <w:rPr>
      <w:rFonts w:cs="OpenSymbol"/>
    </w:rPr>
  </w:style>
  <w:style w:type="character" w:styleId="ListLabel839" w:customStyle="1">
    <w:name w:val="ListLabel 839"/>
    <w:qFormat/>
    <w:rPr>
      <w:rFonts w:cs="OpenSymbol"/>
    </w:rPr>
  </w:style>
  <w:style w:type="character" w:styleId="ListLabel840" w:customStyle="1">
    <w:name w:val="ListLabel 840"/>
    <w:qFormat/>
    <w:rPr>
      <w:rFonts w:cs="OpenSymbol"/>
    </w:rPr>
  </w:style>
  <w:style w:type="character" w:styleId="ListLabel841" w:customStyle="1">
    <w:name w:val="ListLabel 841"/>
    <w:qFormat/>
    <w:rPr>
      <w:rFonts w:cs="OpenSymbol"/>
    </w:rPr>
  </w:style>
  <w:style w:type="character" w:styleId="ListLabel842" w:customStyle="1">
    <w:name w:val="ListLabel 842"/>
    <w:qFormat/>
    <w:rPr>
      <w:rFonts w:cs="OpenSymbol"/>
    </w:rPr>
  </w:style>
  <w:style w:type="character" w:styleId="ListLabel843" w:customStyle="1">
    <w:name w:val="ListLabel 843"/>
    <w:qFormat/>
    <w:rPr>
      <w:rFonts w:cs="Times New Roman"/>
      <w:sz w:val="20"/>
    </w:rPr>
  </w:style>
  <w:style w:type="character" w:styleId="ListLabel844" w:customStyle="1">
    <w:name w:val="ListLabel 844"/>
    <w:qFormat/>
    <w:rPr>
      <w:rFonts w:cs="Courier New"/>
    </w:rPr>
  </w:style>
  <w:style w:type="character" w:styleId="ListLabel845" w:customStyle="1">
    <w:name w:val="ListLabel 845"/>
    <w:qFormat/>
    <w:rPr>
      <w:rFonts w:cs="Wingdings"/>
    </w:rPr>
  </w:style>
  <w:style w:type="character" w:styleId="ListLabel846" w:customStyle="1">
    <w:name w:val="ListLabel 846"/>
    <w:qFormat/>
    <w:rPr>
      <w:rFonts w:cs="Symbol"/>
    </w:rPr>
  </w:style>
  <w:style w:type="character" w:styleId="ListLabel847" w:customStyle="1">
    <w:name w:val="ListLabel 847"/>
    <w:qFormat/>
    <w:rPr>
      <w:rFonts w:cs="Courier New"/>
    </w:rPr>
  </w:style>
  <w:style w:type="character" w:styleId="ListLabel848" w:customStyle="1">
    <w:name w:val="ListLabel 848"/>
    <w:qFormat/>
    <w:rPr>
      <w:rFonts w:cs="Wingdings"/>
    </w:rPr>
  </w:style>
  <w:style w:type="character" w:styleId="ListLabel849" w:customStyle="1">
    <w:name w:val="ListLabel 849"/>
    <w:qFormat/>
    <w:rPr>
      <w:rFonts w:cs="Symbol"/>
    </w:rPr>
  </w:style>
  <w:style w:type="character" w:styleId="ListLabel850" w:customStyle="1">
    <w:name w:val="ListLabel 850"/>
    <w:qFormat/>
    <w:rPr>
      <w:rFonts w:cs="Courier New"/>
    </w:rPr>
  </w:style>
  <w:style w:type="character" w:styleId="ListLabel851" w:customStyle="1">
    <w:name w:val="ListLabel 851"/>
    <w:qFormat/>
    <w:rPr>
      <w:rFonts w:cs="Wingdings"/>
    </w:rPr>
  </w:style>
  <w:style w:type="character" w:styleId="ListLabel852" w:customStyle="1">
    <w:name w:val="ListLabel 852"/>
    <w:qFormat/>
    <w:rPr>
      <w:rFonts w:cs="OpenSymbol"/>
      <w:sz w:val="20"/>
    </w:rPr>
  </w:style>
  <w:style w:type="character" w:styleId="ListLabel853" w:customStyle="1">
    <w:name w:val="ListLabel 853"/>
    <w:qFormat/>
    <w:rPr>
      <w:rFonts w:cs="Courier New"/>
    </w:rPr>
  </w:style>
  <w:style w:type="character" w:styleId="ListLabel854" w:customStyle="1">
    <w:name w:val="ListLabel 854"/>
    <w:qFormat/>
    <w:rPr>
      <w:rFonts w:cs="Wingdings"/>
    </w:rPr>
  </w:style>
  <w:style w:type="character" w:styleId="ListLabel855" w:customStyle="1">
    <w:name w:val="ListLabel 855"/>
    <w:qFormat/>
    <w:rPr>
      <w:rFonts w:cs="Symbol"/>
    </w:rPr>
  </w:style>
  <w:style w:type="character" w:styleId="ListLabel856" w:customStyle="1">
    <w:name w:val="ListLabel 856"/>
    <w:qFormat/>
    <w:rPr>
      <w:rFonts w:cs="Courier New"/>
    </w:rPr>
  </w:style>
  <w:style w:type="character" w:styleId="ListLabel857" w:customStyle="1">
    <w:name w:val="ListLabel 857"/>
    <w:qFormat/>
    <w:rPr>
      <w:rFonts w:cs="Wingdings"/>
    </w:rPr>
  </w:style>
  <w:style w:type="character" w:styleId="ListLabel858" w:customStyle="1">
    <w:name w:val="ListLabel 858"/>
    <w:qFormat/>
    <w:rPr>
      <w:rFonts w:cs="Symbol"/>
    </w:rPr>
  </w:style>
  <w:style w:type="character" w:styleId="ListLabel859" w:customStyle="1">
    <w:name w:val="ListLabel 859"/>
    <w:qFormat/>
    <w:rPr>
      <w:rFonts w:cs="Courier New"/>
    </w:rPr>
  </w:style>
  <w:style w:type="character" w:styleId="ListLabel860" w:customStyle="1">
    <w:name w:val="ListLabel 860"/>
    <w:qFormat/>
    <w:rPr>
      <w:rFonts w:cs="Wingdings"/>
    </w:rPr>
  </w:style>
  <w:style w:type="character" w:styleId="ListLabel861" w:customStyle="1">
    <w:name w:val="ListLabel 861"/>
    <w:qFormat/>
    <w:rPr>
      <w:rFonts w:cs="Times New Roman"/>
      <w:sz w:val="20"/>
    </w:rPr>
  </w:style>
  <w:style w:type="character" w:styleId="ListLabel862" w:customStyle="1">
    <w:name w:val="ListLabel 862"/>
    <w:qFormat/>
    <w:rPr>
      <w:rFonts w:cs="Courier New"/>
    </w:rPr>
  </w:style>
  <w:style w:type="character" w:styleId="ListLabel863" w:customStyle="1">
    <w:name w:val="ListLabel 863"/>
    <w:qFormat/>
    <w:rPr>
      <w:rFonts w:cs="Wingdings"/>
    </w:rPr>
  </w:style>
  <w:style w:type="character" w:styleId="ListLabel864" w:customStyle="1">
    <w:name w:val="ListLabel 864"/>
    <w:qFormat/>
    <w:rPr>
      <w:rFonts w:cs="Symbol"/>
    </w:rPr>
  </w:style>
  <w:style w:type="character" w:styleId="ListLabel865" w:customStyle="1">
    <w:name w:val="ListLabel 865"/>
    <w:qFormat/>
    <w:rPr>
      <w:rFonts w:cs="Courier New"/>
    </w:rPr>
  </w:style>
  <w:style w:type="character" w:styleId="ListLabel866" w:customStyle="1">
    <w:name w:val="ListLabel 866"/>
    <w:qFormat/>
    <w:rPr>
      <w:rFonts w:cs="Wingdings"/>
    </w:rPr>
  </w:style>
  <w:style w:type="character" w:styleId="ListLabel867" w:customStyle="1">
    <w:name w:val="ListLabel 867"/>
    <w:qFormat/>
    <w:rPr>
      <w:rFonts w:cs="Symbol"/>
    </w:rPr>
  </w:style>
  <w:style w:type="character" w:styleId="ListLabel868" w:customStyle="1">
    <w:name w:val="ListLabel 868"/>
    <w:qFormat/>
    <w:rPr>
      <w:rFonts w:cs="Courier New"/>
    </w:rPr>
  </w:style>
  <w:style w:type="character" w:styleId="ListLabel869" w:customStyle="1">
    <w:name w:val="ListLabel 869"/>
    <w:qFormat/>
    <w:rPr>
      <w:rFonts w:cs="Wingdings"/>
    </w:rPr>
  </w:style>
  <w:style w:type="character" w:styleId="ListLabel870" w:customStyle="1">
    <w:name w:val="ListLabel 870"/>
    <w:qFormat/>
    <w:rPr>
      <w:rFonts w:cs="Symbol"/>
    </w:rPr>
  </w:style>
  <w:style w:type="character" w:styleId="ListLabel871" w:customStyle="1">
    <w:name w:val="ListLabel 871"/>
    <w:qFormat/>
    <w:rPr>
      <w:rFonts w:cs="Times New Roman"/>
      <w:sz w:val="20"/>
    </w:rPr>
  </w:style>
  <w:style w:type="character" w:styleId="ListLabel872" w:customStyle="1">
    <w:name w:val="ListLabel 872"/>
    <w:qFormat/>
    <w:rPr>
      <w:rFonts w:cs="Times New Roman"/>
      <w:sz w:val="16"/>
    </w:rPr>
  </w:style>
  <w:style w:type="character" w:styleId="ListLabel873" w:customStyle="1">
    <w:name w:val="ListLabel 873"/>
    <w:qFormat/>
    <w:rPr>
      <w:rFonts w:cs="Courier New"/>
    </w:rPr>
  </w:style>
  <w:style w:type="character" w:styleId="ListLabel874" w:customStyle="1">
    <w:name w:val="ListLabel 874"/>
    <w:qFormat/>
    <w:rPr>
      <w:rFonts w:cs="Wingdings"/>
    </w:rPr>
  </w:style>
  <w:style w:type="character" w:styleId="ListLabel875" w:customStyle="1">
    <w:name w:val="ListLabel 875"/>
    <w:qFormat/>
    <w:rPr>
      <w:rFonts w:cs="Symbol"/>
    </w:rPr>
  </w:style>
  <w:style w:type="character" w:styleId="ListLabel876" w:customStyle="1">
    <w:name w:val="ListLabel 876"/>
    <w:qFormat/>
    <w:rPr>
      <w:rFonts w:cs="Courier New"/>
    </w:rPr>
  </w:style>
  <w:style w:type="character" w:styleId="ListLabel877" w:customStyle="1">
    <w:name w:val="ListLabel 877"/>
    <w:qFormat/>
    <w:rPr>
      <w:rFonts w:cs="Wingdings"/>
    </w:rPr>
  </w:style>
  <w:style w:type="character" w:styleId="ListLabel878" w:customStyle="1">
    <w:name w:val="ListLabel 878"/>
    <w:qFormat/>
    <w:rPr>
      <w:rFonts w:cs="Symbol"/>
    </w:rPr>
  </w:style>
  <w:style w:type="character" w:styleId="ListLabel879" w:customStyle="1">
    <w:name w:val="ListLabel 879"/>
    <w:qFormat/>
    <w:rPr>
      <w:rFonts w:cs="Courier New"/>
    </w:rPr>
  </w:style>
  <w:style w:type="character" w:styleId="ListLabel880" w:customStyle="1">
    <w:name w:val="ListLabel 880"/>
    <w:qFormat/>
    <w:rPr>
      <w:rFonts w:cs="Wingdings"/>
    </w:rPr>
  </w:style>
  <w:style w:type="character" w:styleId="ListLabel881" w:customStyle="1">
    <w:name w:val="ListLabel 881"/>
    <w:qFormat/>
    <w:rPr>
      <w:rFonts w:cs="Symbol"/>
      <w:sz w:val="20"/>
    </w:rPr>
  </w:style>
  <w:style w:type="character" w:styleId="ListLabel882" w:customStyle="1">
    <w:name w:val="ListLabel 882"/>
    <w:qFormat/>
    <w:rPr>
      <w:rFonts w:cs="Courier New"/>
    </w:rPr>
  </w:style>
  <w:style w:type="character" w:styleId="ListLabel883" w:customStyle="1">
    <w:name w:val="ListLabel 883"/>
    <w:qFormat/>
    <w:rPr>
      <w:rFonts w:cs="Wingdings"/>
    </w:rPr>
  </w:style>
  <w:style w:type="character" w:styleId="ListLabel884" w:customStyle="1">
    <w:name w:val="ListLabel 884"/>
    <w:qFormat/>
    <w:rPr>
      <w:rFonts w:cs="Symbol"/>
    </w:rPr>
  </w:style>
  <w:style w:type="character" w:styleId="ListLabel885" w:customStyle="1">
    <w:name w:val="ListLabel 885"/>
    <w:qFormat/>
    <w:rPr>
      <w:rFonts w:cs="Courier New"/>
    </w:rPr>
  </w:style>
  <w:style w:type="character" w:styleId="ListLabel886" w:customStyle="1">
    <w:name w:val="ListLabel 886"/>
    <w:qFormat/>
    <w:rPr>
      <w:rFonts w:cs="Wingdings"/>
    </w:rPr>
  </w:style>
  <w:style w:type="character" w:styleId="ListLabel887" w:customStyle="1">
    <w:name w:val="ListLabel 887"/>
    <w:qFormat/>
    <w:rPr>
      <w:rFonts w:cs="Symbol"/>
    </w:rPr>
  </w:style>
  <w:style w:type="character" w:styleId="ListLabel888" w:customStyle="1">
    <w:name w:val="ListLabel 888"/>
    <w:qFormat/>
    <w:rPr>
      <w:rFonts w:cs="Courier New"/>
    </w:rPr>
  </w:style>
  <w:style w:type="character" w:styleId="ListLabel889" w:customStyle="1">
    <w:name w:val="ListLabel 889"/>
    <w:qFormat/>
    <w:rPr>
      <w:rFonts w:cs="Wingdings"/>
    </w:rPr>
  </w:style>
  <w:style w:type="character" w:styleId="ListLabel890" w:customStyle="1">
    <w:name w:val="ListLabel 890"/>
    <w:qFormat/>
    <w:rPr>
      <w:rFonts w:cs="OpenSymbol"/>
    </w:rPr>
  </w:style>
  <w:style w:type="character" w:styleId="ListLabel891" w:customStyle="1">
    <w:name w:val="ListLabel 891"/>
    <w:qFormat/>
    <w:rPr>
      <w:rFonts w:cs="OpenSymbol"/>
    </w:rPr>
  </w:style>
  <w:style w:type="character" w:styleId="ListLabel892" w:customStyle="1">
    <w:name w:val="ListLabel 892"/>
    <w:qFormat/>
    <w:rPr>
      <w:rFonts w:cs="OpenSymbol"/>
    </w:rPr>
  </w:style>
  <w:style w:type="character" w:styleId="ListLabel893" w:customStyle="1">
    <w:name w:val="ListLabel 893"/>
    <w:qFormat/>
    <w:rPr>
      <w:rFonts w:cs="OpenSymbol"/>
    </w:rPr>
  </w:style>
  <w:style w:type="character" w:styleId="ListLabel894" w:customStyle="1">
    <w:name w:val="ListLabel 894"/>
    <w:qFormat/>
    <w:rPr>
      <w:rFonts w:cs="OpenSymbol"/>
    </w:rPr>
  </w:style>
  <w:style w:type="character" w:styleId="ListLabel895" w:customStyle="1">
    <w:name w:val="ListLabel 895"/>
    <w:qFormat/>
    <w:rPr>
      <w:rFonts w:cs="OpenSymbol"/>
    </w:rPr>
  </w:style>
  <w:style w:type="character" w:styleId="ListLabel896" w:customStyle="1">
    <w:name w:val="ListLabel 896"/>
    <w:qFormat/>
    <w:rPr>
      <w:rFonts w:cs="OpenSymbol"/>
    </w:rPr>
  </w:style>
  <w:style w:type="character" w:styleId="ListLabel897" w:customStyle="1">
    <w:name w:val="ListLabel 897"/>
    <w:qFormat/>
    <w:rPr>
      <w:rFonts w:cs="OpenSymbol"/>
    </w:rPr>
  </w:style>
  <w:style w:type="character" w:styleId="ListLabel898" w:customStyle="1">
    <w:name w:val="ListLabel 898"/>
    <w:qFormat/>
    <w:rPr>
      <w:rFonts w:cs="OpenSymbol"/>
    </w:rPr>
  </w:style>
  <w:style w:type="character" w:styleId="ListLabel899" w:customStyle="1">
    <w:name w:val="ListLabel 899"/>
    <w:qFormat/>
    <w:rPr>
      <w:rFonts w:cs="OpenSymbol"/>
    </w:rPr>
  </w:style>
  <w:style w:type="character" w:styleId="ListLabel900" w:customStyle="1">
    <w:name w:val="ListLabel 900"/>
    <w:qFormat/>
    <w:rPr>
      <w:rFonts w:cs="OpenSymbol"/>
    </w:rPr>
  </w:style>
  <w:style w:type="character" w:styleId="ListLabel901" w:customStyle="1">
    <w:name w:val="ListLabel 901"/>
    <w:qFormat/>
    <w:rPr>
      <w:rFonts w:cs="OpenSymbol"/>
    </w:rPr>
  </w:style>
  <w:style w:type="character" w:styleId="ListLabel902" w:customStyle="1">
    <w:name w:val="ListLabel 902"/>
    <w:qFormat/>
    <w:rPr>
      <w:rFonts w:cs="OpenSymbol"/>
    </w:rPr>
  </w:style>
  <w:style w:type="character" w:styleId="ListLabel903" w:customStyle="1">
    <w:name w:val="ListLabel 903"/>
    <w:qFormat/>
    <w:rPr>
      <w:rFonts w:cs="OpenSymbol"/>
    </w:rPr>
  </w:style>
  <w:style w:type="character" w:styleId="ListLabel904" w:customStyle="1">
    <w:name w:val="ListLabel 904"/>
    <w:qFormat/>
    <w:rPr>
      <w:rFonts w:cs="OpenSymbol"/>
    </w:rPr>
  </w:style>
  <w:style w:type="character" w:styleId="ListLabel905" w:customStyle="1">
    <w:name w:val="ListLabel 905"/>
    <w:qFormat/>
    <w:rPr>
      <w:rFonts w:cs="OpenSymbol"/>
    </w:rPr>
  </w:style>
  <w:style w:type="character" w:styleId="ListLabel906" w:customStyle="1">
    <w:name w:val="ListLabel 906"/>
    <w:qFormat/>
    <w:rPr>
      <w:rFonts w:cs="OpenSymbol"/>
    </w:rPr>
  </w:style>
  <w:style w:type="character" w:styleId="ListLabel907" w:customStyle="1">
    <w:name w:val="ListLabel 907"/>
    <w:qFormat/>
    <w:rPr>
      <w:rFonts w:cs="OpenSymbol"/>
    </w:rPr>
  </w:style>
  <w:style w:type="character" w:styleId="ListLabel908" w:customStyle="1">
    <w:name w:val="ListLabel 908"/>
    <w:qFormat/>
    <w:rPr>
      <w:rFonts w:cs="OpenSymbol"/>
    </w:rPr>
  </w:style>
  <w:style w:type="character" w:styleId="ListLabel909" w:customStyle="1">
    <w:name w:val="ListLabel 909"/>
    <w:qFormat/>
    <w:rPr>
      <w:rFonts w:cs="OpenSymbol"/>
    </w:rPr>
  </w:style>
  <w:style w:type="character" w:styleId="ListLabel910" w:customStyle="1">
    <w:name w:val="ListLabel 910"/>
    <w:qFormat/>
    <w:rPr>
      <w:rFonts w:cs="OpenSymbol"/>
    </w:rPr>
  </w:style>
  <w:style w:type="character" w:styleId="ListLabel911" w:customStyle="1">
    <w:name w:val="ListLabel 911"/>
    <w:qFormat/>
    <w:rPr>
      <w:rFonts w:cs="OpenSymbol"/>
    </w:rPr>
  </w:style>
  <w:style w:type="character" w:styleId="ListLabel912" w:customStyle="1">
    <w:name w:val="ListLabel 912"/>
    <w:qFormat/>
    <w:rPr>
      <w:rFonts w:cs="OpenSymbol"/>
    </w:rPr>
  </w:style>
  <w:style w:type="character" w:styleId="ListLabel913" w:customStyle="1">
    <w:name w:val="ListLabel 913"/>
    <w:qFormat/>
    <w:rPr>
      <w:rFonts w:cs="OpenSymbol"/>
    </w:rPr>
  </w:style>
  <w:style w:type="character" w:styleId="ListLabel914" w:customStyle="1">
    <w:name w:val="ListLabel 914"/>
    <w:qFormat/>
    <w:rPr>
      <w:rFonts w:cs="OpenSymbol"/>
    </w:rPr>
  </w:style>
  <w:style w:type="character" w:styleId="ListLabel915" w:customStyle="1">
    <w:name w:val="ListLabel 915"/>
    <w:qFormat/>
    <w:rPr>
      <w:rFonts w:cs="OpenSymbol"/>
    </w:rPr>
  </w:style>
  <w:style w:type="character" w:styleId="ListLabel916" w:customStyle="1">
    <w:name w:val="ListLabel 916"/>
    <w:qFormat/>
    <w:rPr>
      <w:rFonts w:cs="OpenSymbol"/>
    </w:rPr>
  </w:style>
  <w:style w:type="character" w:styleId="ListLabel917" w:customStyle="1">
    <w:name w:val="ListLabel 917"/>
    <w:qFormat/>
    <w:rPr>
      <w:rFonts w:cs="OpenSymbol"/>
    </w:rPr>
  </w:style>
  <w:style w:type="character" w:styleId="ListLabel918" w:customStyle="1">
    <w:name w:val="ListLabel 918"/>
    <w:qFormat/>
    <w:rPr>
      <w:rFonts w:cs="OpenSymbol"/>
    </w:rPr>
  </w:style>
  <w:style w:type="character" w:styleId="ListLabel919" w:customStyle="1">
    <w:name w:val="ListLabel 919"/>
    <w:qFormat/>
    <w:rPr>
      <w:rFonts w:cs="OpenSymbol"/>
    </w:rPr>
  </w:style>
  <w:style w:type="character" w:styleId="ListLabel920" w:customStyle="1">
    <w:name w:val="ListLabel 920"/>
    <w:qFormat/>
    <w:rPr>
      <w:rFonts w:cs="OpenSymbol"/>
    </w:rPr>
  </w:style>
  <w:style w:type="character" w:styleId="ListLabel921" w:customStyle="1">
    <w:name w:val="ListLabel 921"/>
    <w:qFormat/>
    <w:rPr>
      <w:rFonts w:cs="OpenSymbol"/>
    </w:rPr>
  </w:style>
  <w:style w:type="character" w:styleId="ListLabel922" w:customStyle="1">
    <w:name w:val="ListLabel 922"/>
    <w:qFormat/>
    <w:rPr>
      <w:rFonts w:cs="OpenSymbol"/>
    </w:rPr>
  </w:style>
  <w:style w:type="character" w:styleId="ListLabel923" w:customStyle="1">
    <w:name w:val="ListLabel 923"/>
    <w:qFormat/>
    <w:rPr>
      <w:rFonts w:cs="OpenSymbol"/>
    </w:rPr>
  </w:style>
  <w:style w:type="character" w:styleId="ListLabel924" w:customStyle="1">
    <w:name w:val="ListLabel 924"/>
    <w:qFormat/>
    <w:rPr>
      <w:rFonts w:cs="OpenSymbol"/>
    </w:rPr>
  </w:style>
  <w:style w:type="character" w:styleId="ListLabel925" w:customStyle="1">
    <w:name w:val="ListLabel 925"/>
    <w:qFormat/>
    <w:rPr>
      <w:rFonts w:cs="OpenSymbol"/>
    </w:rPr>
  </w:style>
  <w:style w:type="character" w:styleId="ListLabel926" w:customStyle="1">
    <w:name w:val="ListLabel 926"/>
    <w:qFormat/>
    <w:rPr>
      <w:rFonts w:cs="OpenSymbol"/>
    </w:rPr>
  </w:style>
  <w:style w:type="character" w:styleId="ListLabel927" w:customStyle="1">
    <w:name w:val="ListLabel 927"/>
    <w:qFormat/>
    <w:rPr>
      <w:rFonts w:cs="OpenSymbol"/>
    </w:rPr>
  </w:style>
  <w:style w:type="character" w:styleId="ListLabel928" w:customStyle="1">
    <w:name w:val="ListLabel 928"/>
    <w:qFormat/>
    <w:rPr>
      <w:rFonts w:cs="OpenSymbol"/>
    </w:rPr>
  </w:style>
  <w:style w:type="character" w:styleId="ListLabel929" w:customStyle="1">
    <w:name w:val="ListLabel 929"/>
    <w:qFormat/>
    <w:rPr>
      <w:rFonts w:cs="OpenSymbol"/>
    </w:rPr>
  </w:style>
  <w:style w:type="character" w:styleId="ListLabel930" w:customStyle="1">
    <w:name w:val="ListLabel 930"/>
    <w:qFormat/>
    <w:rPr>
      <w:rFonts w:cs="OpenSymbol"/>
    </w:rPr>
  </w:style>
  <w:style w:type="character" w:styleId="ListLabel931" w:customStyle="1">
    <w:name w:val="ListLabel 931"/>
    <w:qFormat/>
    <w:rPr>
      <w:rFonts w:cs="OpenSymbol"/>
    </w:rPr>
  </w:style>
  <w:style w:type="character" w:styleId="ListLabel932" w:customStyle="1">
    <w:name w:val="ListLabel 932"/>
    <w:qFormat/>
    <w:rPr>
      <w:rFonts w:cs="OpenSymbol"/>
    </w:rPr>
  </w:style>
  <w:style w:type="character" w:styleId="ListLabel933" w:customStyle="1">
    <w:name w:val="ListLabel 933"/>
    <w:qFormat/>
    <w:rPr>
      <w:rFonts w:cs="OpenSymbol"/>
    </w:rPr>
  </w:style>
  <w:style w:type="character" w:styleId="ListLabel934" w:customStyle="1">
    <w:name w:val="ListLabel 934"/>
    <w:qFormat/>
    <w:rPr>
      <w:rFonts w:cs="OpenSymbol"/>
    </w:rPr>
  </w:style>
  <w:style w:type="character" w:styleId="ListLabel935" w:customStyle="1">
    <w:name w:val="ListLabel 935"/>
    <w:qFormat/>
    <w:rPr>
      <w:rFonts w:cs="OpenSymbol"/>
    </w:rPr>
  </w:style>
  <w:style w:type="character" w:styleId="ListLabel936" w:customStyle="1">
    <w:name w:val="ListLabel 936"/>
    <w:qFormat/>
    <w:rPr>
      <w:rFonts w:cs="OpenSymbol"/>
    </w:rPr>
  </w:style>
  <w:style w:type="character" w:styleId="ListLabel937" w:customStyle="1">
    <w:name w:val="ListLabel 937"/>
    <w:qFormat/>
    <w:rPr>
      <w:rFonts w:cs="OpenSymbol"/>
    </w:rPr>
  </w:style>
  <w:style w:type="character" w:styleId="ListLabel938" w:customStyle="1">
    <w:name w:val="ListLabel 938"/>
    <w:qFormat/>
    <w:rPr>
      <w:rFonts w:cs="OpenSymbol"/>
    </w:rPr>
  </w:style>
  <w:style w:type="character" w:styleId="ListLabel939" w:customStyle="1">
    <w:name w:val="ListLabel 939"/>
    <w:qFormat/>
    <w:rPr>
      <w:rFonts w:cs="OpenSymbol"/>
    </w:rPr>
  </w:style>
  <w:style w:type="character" w:styleId="ListLabel940" w:customStyle="1">
    <w:name w:val="ListLabel 940"/>
    <w:qFormat/>
    <w:rPr>
      <w:rFonts w:cs="OpenSymbol"/>
    </w:rPr>
  </w:style>
  <w:style w:type="character" w:styleId="ListLabel941" w:customStyle="1">
    <w:name w:val="ListLabel 941"/>
    <w:qFormat/>
    <w:rPr>
      <w:rFonts w:cs="OpenSymbol"/>
    </w:rPr>
  </w:style>
  <w:style w:type="character" w:styleId="ListLabel942" w:customStyle="1">
    <w:name w:val="ListLabel 942"/>
    <w:qFormat/>
    <w:rPr>
      <w:rFonts w:cs="OpenSymbol"/>
    </w:rPr>
  </w:style>
  <w:style w:type="character" w:styleId="ListLabel943" w:customStyle="1">
    <w:name w:val="ListLabel 943"/>
    <w:qFormat/>
    <w:rPr>
      <w:rFonts w:cs="OpenSymbol"/>
    </w:rPr>
  </w:style>
  <w:style w:type="character" w:styleId="ListLabel944" w:customStyle="1">
    <w:name w:val="ListLabel 944"/>
    <w:qFormat/>
    <w:rPr>
      <w:rFonts w:cs="Courier New"/>
    </w:rPr>
  </w:style>
  <w:style w:type="character" w:styleId="ListLabel945" w:customStyle="1">
    <w:name w:val="ListLabel 945"/>
    <w:qFormat/>
    <w:rPr>
      <w:rFonts w:cs="Courier New"/>
    </w:rPr>
  </w:style>
  <w:style w:type="character" w:styleId="ListLabel946" w:customStyle="1">
    <w:name w:val="ListLabel 946"/>
    <w:qFormat/>
    <w:rPr>
      <w:rFonts w:cs="Courier New"/>
    </w:rPr>
  </w:style>
  <w:style w:type="character" w:styleId="ListLabel947" w:customStyle="1">
    <w:name w:val="ListLabel 947"/>
    <w:qFormat/>
    <w:rPr>
      <w:szCs w:val="20"/>
    </w:rPr>
  </w:style>
  <w:style w:type="character" w:styleId="ListLabel948" w:customStyle="1">
    <w:name w:val="ListLabel 948"/>
    <w:qFormat/>
    <w:rPr>
      <w:szCs w:val="20"/>
      <w:u w:val="none"/>
    </w:rPr>
  </w:style>
  <w:style w:type="character" w:styleId="ListLabel949" w:customStyle="1">
    <w:name w:val="ListLabel 949"/>
    <w:qFormat/>
    <w:rPr/>
  </w:style>
  <w:style w:type="character" w:styleId="ListLabel950" w:customStyle="1">
    <w:name w:val="ListLabel 950"/>
    <w:qFormat/>
    <w:rPr>
      <w:sz w:val="20"/>
      <w:szCs w:val="20"/>
      <w:u w:val="none"/>
    </w:rPr>
  </w:style>
  <w:style w:type="character" w:styleId="ListLabel951" w:customStyle="1">
    <w:name w:val="ListLabel 951"/>
    <w:qFormat/>
    <w:rPr/>
  </w:style>
  <w:style w:type="character" w:styleId="ListLabel952" w:customStyle="1">
    <w:name w:val="ListLabel 952"/>
    <w:qFormat/>
    <w:rPr>
      <w:szCs w:val="20"/>
    </w:rPr>
  </w:style>
  <w:style w:type="character" w:styleId="ListLabel953" w:customStyle="1">
    <w:name w:val="ListLabel 953"/>
    <w:qFormat/>
    <w:rPr>
      <w:rFonts w:cs="OpenSymbol"/>
      <w:sz w:val="20"/>
    </w:rPr>
  </w:style>
  <w:style w:type="character" w:styleId="ListLabel954" w:customStyle="1">
    <w:name w:val="ListLabel 954"/>
    <w:qFormat/>
    <w:rPr>
      <w:rFonts w:cs="OpenSymbol;Arial Unicode MS"/>
      <w:lang w:val="nl-NL"/>
    </w:rPr>
  </w:style>
  <w:style w:type="character" w:styleId="ListLabel955" w:customStyle="1">
    <w:name w:val="ListLabel 955"/>
    <w:qFormat/>
    <w:rPr>
      <w:rFonts w:cs="OpenSymbol;Arial Unicode MS"/>
      <w:lang w:val="nl-NL"/>
    </w:rPr>
  </w:style>
  <w:style w:type="character" w:styleId="ListLabel956" w:customStyle="1">
    <w:name w:val="ListLabel 956"/>
    <w:qFormat/>
    <w:rPr>
      <w:rFonts w:cs="OpenSymbol;Arial Unicode MS"/>
      <w:lang w:val="nl-NL"/>
    </w:rPr>
  </w:style>
  <w:style w:type="character" w:styleId="ListLabel957" w:customStyle="1">
    <w:name w:val="ListLabel 957"/>
    <w:qFormat/>
    <w:rPr>
      <w:rFonts w:cs="OpenSymbol;Arial Unicode MS"/>
      <w:lang w:val="nl-NL"/>
    </w:rPr>
  </w:style>
  <w:style w:type="character" w:styleId="ListLabel958" w:customStyle="1">
    <w:name w:val="ListLabel 958"/>
    <w:qFormat/>
    <w:rPr>
      <w:rFonts w:cs="OpenSymbol;Arial Unicode MS"/>
      <w:lang w:val="nl-NL"/>
    </w:rPr>
  </w:style>
  <w:style w:type="character" w:styleId="ListLabel959" w:customStyle="1">
    <w:name w:val="ListLabel 959"/>
    <w:qFormat/>
    <w:rPr>
      <w:rFonts w:cs="OpenSymbol;Arial Unicode MS"/>
      <w:lang w:val="nl-NL"/>
    </w:rPr>
  </w:style>
  <w:style w:type="character" w:styleId="ListLabel960" w:customStyle="1">
    <w:name w:val="ListLabel 960"/>
    <w:qFormat/>
    <w:rPr>
      <w:rFonts w:cs="OpenSymbol;Arial Unicode MS"/>
      <w:lang w:val="nl-NL"/>
    </w:rPr>
  </w:style>
  <w:style w:type="character" w:styleId="ListLabel961" w:customStyle="1">
    <w:name w:val="ListLabel 961"/>
    <w:qFormat/>
    <w:rPr>
      <w:rFonts w:cs="OpenSymbol;Arial Unicode MS"/>
      <w:lang w:val="nl-NL"/>
    </w:rPr>
  </w:style>
  <w:style w:type="character" w:styleId="ListLabel962" w:customStyle="1">
    <w:name w:val="ListLabel 962"/>
    <w:qFormat/>
    <w:rPr>
      <w:rFonts w:cs="OpenSymbol"/>
      <w:sz w:val="20"/>
    </w:rPr>
  </w:style>
  <w:style w:type="character" w:styleId="ListLabel963" w:customStyle="1">
    <w:name w:val="ListLabel 963"/>
    <w:qFormat/>
    <w:rPr>
      <w:rFonts w:cs="OpenSymbol"/>
    </w:rPr>
  </w:style>
  <w:style w:type="character" w:styleId="ListLabel964" w:customStyle="1">
    <w:name w:val="ListLabel 964"/>
    <w:qFormat/>
    <w:rPr>
      <w:rFonts w:cs="OpenSymbol"/>
    </w:rPr>
  </w:style>
  <w:style w:type="character" w:styleId="ListLabel965" w:customStyle="1">
    <w:name w:val="ListLabel 965"/>
    <w:qFormat/>
    <w:rPr>
      <w:rFonts w:cs="OpenSymbol"/>
    </w:rPr>
  </w:style>
  <w:style w:type="character" w:styleId="ListLabel966" w:customStyle="1">
    <w:name w:val="ListLabel 966"/>
    <w:qFormat/>
    <w:rPr>
      <w:rFonts w:cs="OpenSymbol"/>
    </w:rPr>
  </w:style>
  <w:style w:type="character" w:styleId="ListLabel967" w:customStyle="1">
    <w:name w:val="ListLabel 967"/>
    <w:qFormat/>
    <w:rPr>
      <w:rFonts w:cs="OpenSymbol"/>
    </w:rPr>
  </w:style>
  <w:style w:type="character" w:styleId="ListLabel968" w:customStyle="1">
    <w:name w:val="ListLabel 968"/>
    <w:qFormat/>
    <w:rPr>
      <w:rFonts w:cs="OpenSymbol"/>
    </w:rPr>
  </w:style>
  <w:style w:type="character" w:styleId="ListLabel969" w:customStyle="1">
    <w:name w:val="ListLabel 969"/>
    <w:qFormat/>
    <w:rPr>
      <w:rFonts w:cs="OpenSymbol"/>
    </w:rPr>
  </w:style>
  <w:style w:type="character" w:styleId="ListLabel970" w:customStyle="1">
    <w:name w:val="ListLabel 970"/>
    <w:qFormat/>
    <w:rPr>
      <w:rFonts w:cs="OpenSymbol"/>
    </w:rPr>
  </w:style>
  <w:style w:type="character" w:styleId="ListLabel971" w:customStyle="1">
    <w:name w:val="ListLabel 971"/>
    <w:qFormat/>
    <w:rPr>
      <w:rFonts w:cs="OpenSymbol"/>
      <w:sz w:val="20"/>
    </w:rPr>
  </w:style>
  <w:style w:type="character" w:styleId="ListLabel972" w:customStyle="1">
    <w:name w:val="ListLabel 972"/>
    <w:qFormat/>
    <w:rPr>
      <w:rFonts w:cs="OpenSymbol"/>
    </w:rPr>
  </w:style>
  <w:style w:type="character" w:styleId="ListLabel973" w:customStyle="1">
    <w:name w:val="ListLabel 973"/>
    <w:qFormat/>
    <w:rPr>
      <w:rFonts w:cs="OpenSymbol"/>
    </w:rPr>
  </w:style>
  <w:style w:type="character" w:styleId="ListLabel974" w:customStyle="1">
    <w:name w:val="ListLabel 974"/>
    <w:qFormat/>
    <w:rPr>
      <w:rFonts w:cs="OpenSymbol"/>
    </w:rPr>
  </w:style>
  <w:style w:type="character" w:styleId="ListLabel975" w:customStyle="1">
    <w:name w:val="ListLabel 975"/>
    <w:qFormat/>
    <w:rPr>
      <w:rFonts w:cs="OpenSymbol"/>
    </w:rPr>
  </w:style>
  <w:style w:type="character" w:styleId="ListLabel976" w:customStyle="1">
    <w:name w:val="ListLabel 976"/>
    <w:qFormat/>
    <w:rPr>
      <w:rFonts w:cs="OpenSymbol"/>
    </w:rPr>
  </w:style>
  <w:style w:type="character" w:styleId="ListLabel977" w:customStyle="1">
    <w:name w:val="ListLabel 977"/>
    <w:qFormat/>
    <w:rPr>
      <w:rFonts w:cs="OpenSymbol"/>
    </w:rPr>
  </w:style>
  <w:style w:type="character" w:styleId="ListLabel978" w:customStyle="1">
    <w:name w:val="ListLabel 978"/>
    <w:qFormat/>
    <w:rPr>
      <w:rFonts w:cs="OpenSymbol"/>
    </w:rPr>
  </w:style>
  <w:style w:type="character" w:styleId="ListLabel979" w:customStyle="1">
    <w:name w:val="ListLabel 979"/>
    <w:qFormat/>
    <w:rPr>
      <w:rFonts w:cs="OpenSymbol"/>
    </w:rPr>
  </w:style>
  <w:style w:type="character" w:styleId="ListLabel980" w:customStyle="1">
    <w:name w:val="ListLabel 980"/>
    <w:qFormat/>
    <w:rPr>
      <w:rFonts w:cs="OpenSymbol"/>
      <w:sz w:val="20"/>
    </w:rPr>
  </w:style>
  <w:style w:type="character" w:styleId="ListLabel981" w:customStyle="1">
    <w:name w:val="ListLabel 981"/>
    <w:qFormat/>
    <w:rPr>
      <w:rFonts w:cs="OpenSymbol"/>
    </w:rPr>
  </w:style>
  <w:style w:type="character" w:styleId="ListLabel982" w:customStyle="1">
    <w:name w:val="ListLabel 982"/>
    <w:qFormat/>
    <w:rPr>
      <w:rFonts w:cs="OpenSymbol"/>
    </w:rPr>
  </w:style>
  <w:style w:type="character" w:styleId="ListLabel983" w:customStyle="1">
    <w:name w:val="ListLabel 983"/>
    <w:qFormat/>
    <w:rPr>
      <w:rFonts w:cs="OpenSymbol"/>
    </w:rPr>
  </w:style>
  <w:style w:type="character" w:styleId="ListLabel984" w:customStyle="1">
    <w:name w:val="ListLabel 984"/>
    <w:qFormat/>
    <w:rPr>
      <w:rFonts w:cs="OpenSymbol"/>
    </w:rPr>
  </w:style>
  <w:style w:type="character" w:styleId="ListLabel985" w:customStyle="1">
    <w:name w:val="ListLabel 985"/>
    <w:qFormat/>
    <w:rPr>
      <w:rFonts w:cs="OpenSymbol"/>
    </w:rPr>
  </w:style>
  <w:style w:type="character" w:styleId="ListLabel986" w:customStyle="1">
    <w:name w:val="ListLabel 986"/>
    <w:qFormat/>
    <w:rPr>
      <w:rFonts w:cs="OpenSymbol"/>
    </w:rPr>
  </w:style>
  <w:style w:type="character" w:styleId="ListLabel987" w:customStyle="1">
    <w:name w:val="ListLabel 987"/>
    <w:qFormat/>
    <w:rPr>
      <w:rFonts w:cs="OpenSymbol"/>
    </w:rPr>
  </w:style>
  <w:style w:type="character" w:styleId="ListLabel988" w:customStyle="1">
    <w:name w:val="ListLabel 988"/>
    <w:qFormat/>
    <w:rPr>
      <w:rFonts w:cs="OpenSymbol"/>
    </w:rPr>
  </w:style>
  <w:style w:type="character" w:styleId="ListLabel989" w:customStyle="1">
    <w:name w:val="ListLabel 989"/>
    <w:qFormat/>
    <w:rPr>
      <w:rFonts w:cs="OpenSymbol"/>
      <w:sz w:val="20"/>
    </w:rPr>
  </w:style>
  <w:style w:type="character" w:styleId="ListLabel990" w:customStyle="1">
    <w:name w:val="ListLabel 990"/>
    <w:qFormat/>
    <w:rPr>
      <w:rFonts w:cs="OpenSymbol"/>
    </w:rPr>
  </w:style>
  <w:style w:type="character" w:styleId="ListLabel991" w:customStyle="1">
    <w:name w:val="ListLabel 991"/>
    <w:qFormat/>
    <w:rPr>
      <w:rFonts w:cs="OpenSymbol"/>
    </w:rPr>
  </w:style>
  <w:style w:type="character" w:styleId="ListLabel992" w:customStyle="1">
    <w:name w:val="ListLabel 992"/>
    <w:qFormat/>
    <w:rPr>
      <w:rFonts w:cs="OpenSymbol"/>
    </w:rPr>
  </w:style>
  <w:style w:type="character" w:styleId="ListLabel993" w:customStyle="1">
    <w:name w:val="ListLabel 993"/>
    <w:qFormat/>
    <w:rPr>
      <w:rFonts w:cs="OpenSymbol"/>
    </w:rPr>
  </w:style>
  <w:style w:type="character" w:styleId="ListLabel994" w:customStyle="1">
    <w:name w:val="ListLabel 994"/>
    <w:qFormat/>
    <w:rPr>
      <w:rFonts w:cs="OpenSymbol"/>
    </w:rPr>
  </w:style>
  <w:style w:type="character" w:styleId="ListLabel995" w:customStyle="1">
    <w:name w:val="ListLabel 995"/>
    <w:qFormat/>
    <w:rPr>
      <w:rFonts w:cs="OpenSymbol"/>
    </w:rPr>
  </w:style>
  <w:style w:type="character" w:styleId="ListLabel996" w:customStyle="1">
    <w:name w:val="ListLabel 996"/>
    <w:qFormat/>
    <w:rPr>
      <w:rFonts w:cs="OpenSymbol"/>
    </w:rPr>
  </w:style>
  <w:style w:type="character" w:styleId="ListLabel997" w:customStyle="1">
    <w:name w:val="ListLabel 997"/>
    <w:qFormat/>
    <w:rPr>
      <w:rFonts w:cs="OpenSymbol"/>
    </w:rPr>
  </w:style>
  <w:style w:type="character" w:styleId="ListLabel998" w:customStyle="1">
    <w:name w:val="ListLabel 998"/>
    <w:qFormat/>
    <w:rPr>
      <w:rFonts w:cs="OpenSymbol"/>
      <w:sz w:val="20"/>
    </w:rPr>
  </w:style>
  <w:style w:type="character" w:styleId="ListLabel999" w:customStyle="1">
    <w:name w:val="ListLabel 999"/>
    <w:qFormat/>
    <w:rPr>
      <w:rFonts w:cs="OpenSymbol"/>
    </w:rPr>
  </w:style>
  <w:style w:type="character" w:styleId="ListLabel1000" w:customStyle="1">
    <w:name w:val="ListLabel 1000"/>
    <w:qFormat/>
    <w:rPr>
      <w:rFonts w:cs="OpenSymbol"/>
    </w:rPr>
  </w:style>
  <w:style w:type="character" w:styleId="ListLabel1001" w:customStyle="1">
    <w:name w:val="ListLabel 1001"/>
    <w:qFormat/>
    <w:rPr>
      <w:rFonts w:cs="OpenSymbol"/>
    </w:rPr>
  </w:style>
  <w:style w:type="character" w:styleId="ListLabel1002" w:customStyle="1">
    <w:name w:val="ListLabel 1002"/>
    <w:qFormat/>
    <w:rPr>
      <w:rFonts w:cs="OpenSymbol"/>
    </w:rPr>
  </w:style>
  <w:style w:type="character" w:styleId="ListLabel1003" w:customStyle="1">
    <w:name w:val="ListLabel 1003"/>
    <w:qFormat/>
    <w:rPr>
      <w:rFonts w:cs="OpenSymbol"/>
    </w:rPr>
  </w:style>
  <w:style w:type="character" w:styleId="ListLabel1004" w:customStyle="1">
    <w:name w:val="ListLabel 1004"/>
    <w:qFormat/>
    <w:rPr>
      <w:rFonts w:cs="OpenSymbol"/>
    </w:rPr>
  </w:style>
  <w:style w:type="character" w:styleId="ListLabel1005" w:customStyle="1">
    <w:name w:val="ListLabel 1005"/>
    <w:qFormat/>
    <w:rPr>
      <w:rFonts w:cs="OpenSymbol"/>
    </w:rPr>
  </w:style>
  <w:style w:type="character" w:styleId="ListLabel1006" w:customStyle="1">
    <w:name w:val="ListLabel 1006"/>
    <w:qFormat/>
    <w:rPr>
      <w:rFonts w:cs="OpenSymbol"/>
    </w:rPr>
  </w:style>
  <w:style w:type="character" w:styleId="ListLabel1007" w:customStyle="1">
    <w:name w:val="ListLabel 1007"/>
    <w:qFormat/>
    <w:rPr>
      <w:rFonts w:cs="OpenSymbol"/>
      <w:sz w:val="20"/>
    </w:rPr>
  </w:style>
  <w:style w:type="character" w:styleId="ListLabel1008" w:customStyle="1">
    <w:name w:val="ListLabel 1008"/>
    <w:qFormat/>
    <w:rPr>
      <w:rFonts w:cs="OpenSymbol"/>
    </w:rPr>
  </w:style>
  <w:style w:type="character" w:styleId="ListLabel1009" w:customStyle="1">
    <w:name w:val="ListLabel 1009"/>
    <w:qFormat/>
    <w:rPr>
      <w:rFonts w:cs="OpenSymbol"/>
    </w:rPr>
  </w:style>
  <w:style w:type="character" w:styleId="ListLabel1010" w:customStyle="1">
    <w:name w:val="ListLabel 1010"/>
    <w:qFormat/>
    <w:rPr>
      <w:rFonts w:cs="OpenSymbol"/>
    </w:rPr>
  </w:style>
  <w:style w:type="character" w:styleId="ListLabel1011" w:customStyle="1">
    <w:name w:val="ListLabel 1011"/>
    <w:qFormat/>
    <w:rPr>
      <w:rFonts w:cs="OpenSymbol"/>
    </w:rPr>
  </w:style>
  <w:style w:type="character" w:styleId="ListLabel1012" w:customStyle="1">
    <w:name w:val="ListLabel 1012"/>
    <w:qFormat/>
    <w:rPr>
      <w:rFonts w:cs="OpenSymbol"/>
    </w:rPr>
  </w:style>
  <w:style w:type="character" w:styleId="ListLabel1013" w:customStyle="1">
    <w:name w:val="ListLabel 1013"/>
    <w:qFormat/>
    <w:rPr>
      <w:rFonts w:cs="OpenSymbol"/>
    </w:rPr>
  </w:style>
  <w:style w:type="character" w:styleId="ListLabel1014" w:customStyle="1">
    <w:name w:val="ListLabel 1014"/>
    <w:qFormat/>
    <w:rPr>
      <w:rFonts w:cs="OpenSymbol"/>
    </w:rPr>
  </w:style>
  <w:style w:type="character" w:styleId="ListLabel1015" w:customStyle="1">
    <w:name w:val="ListLabel 1015"/>
    <w:qFormat/>
    <w:rPr>
      <w:rFonts w:cs="OpenSymbol"/>
    </w:rPr>
  </w:style>
  <w:style w:type="character" w:styleId="ListLabel1016" w:customStyle="1">
    <w:name w:val="ListLabel 1016"/>
    <w:qFormat/>
    <w:rPr>
      <w:rFonts w:cs="Times New Roman"/>
      <w:sz w:val="20"/>
    </w:rPr>
  </w:style>
  <w:style w:type="character" w:styleId="ListLabel1017" w:customStyle="1">
    <w:name w:val="ListLabel 1017"/>
    <w:qFormat/>
    <w:rPr>
      <w:rFonts w:cs="Courier New"/>
    </w:rPr>
  </w:style>
  <w:style w:type="character" w:styleId="ListLabel1018" w:customStyle="1">
    <w:name w:val="ListLabel 1018"/>
    <w:qFormat/>
    <w:rPr>
      <w:rFonts w:cs="Wingdings"/>
    </w:rPr>
  </w:style>
  <w:style w:type="character" w:styleId="ListLabel1019" w:customStyle="1">
    <w:name w:val="ListLabel 1019"/>
    <w:qFormat/>
    <w:rPr>
      <w:rFonts w:cs="Symbol"/>
    </w:rPr>
  </w:style>
  <w:style w:type="character" w:styleId="ListLabel1020" w:customStyle="1">
    <w:name w:val="ListLabel 1020"/>
    <w:qFormat/>
    <w:rPr>
      <w:rFonts w:cs="Courier New"/>
    </w:rPr>
  </w:style>
  <w:style w:type="character" w:styleId="ListLabel1021" w:customStyle="1">
    <w:name w:val="ListLabel 1021"/>
    <w:qFormat/>
    <w:rPr>
      <w:rFonts w:cs="Wingdings"/>
    </w:rPr>
  </w:style>
  <w:style w:type="character" w:styleId="ListLabel1022" w:customStyle="1">
    <w:name w:val="ListLabel 1022"/>
    <w:qFormat/>
    <w:rPr>
      <w:rFonts w:cs="Symbol"/>
    </w:rPr>
  </w:style>
  <w:style w:type="character" w:styleId="ListLabel1023" w:customStyle="1">
    <w:name w:val="ListLabel 1023"/>
    <w:qFormat/>
    <w:rPr>
      <w:rFonts w:cs="Courier New"/>
    </w:rPr>
  </w:style>
  <w:style w:type="character" w:styleId="ListLabel1024" w:customStyle="1">
    <w:name w:val="ListLabel 1024"/>
    <w:qFormat/>
    <w:rPr>
      <w:rFonts w:cs="Wingdings"/>
    </w:rPr>
  </w:style>
  <w:style w:type="character" w:styleId="ListLabel1025" w:customStyle="1">
    <w:name w:val="ListLabel 1025"/>
    <w:qFormat/>
    <w:rPr>
      <w:rFonts w:cs="OpenSymbol"/>
      <w:sz w:val="20"/>
    </w:rPr>
  </w:style>
  <w:style w:type="character" w:styleId="ListLabel1026" w:customStyle="1">
    <w:name w:val="ListLabel 1026"/>
    <w:qFormat/>
    <w:rPr>
      <w:rFonts w:cs="Courier New"/>
    </w:rPr>
  </w:style>
  <w:style w:type="character" w:styleId="ListLabel1027" w:customStyle="1">
    <w:name w:val="ListLabel 1027"/>
    <w:qFormat/>
    <w:rPr>
      <w:rFonts w:cs="Wingdings"/>
    </w:rPr>
  </w:style>
  <w:style w:type="character" w:styleId="ListLabel1028" w:customStyle="1">
    <w:name w:val="ListLabel 1028"/>
    <w:qFormat/>
    <w:rPr>
      <w:rFonts w:cs="Symbol"/>
    </w:rPr>
  </w:style>
  <w:style w:type="character" w:styleId="ListLabel1029" w:customStyle="1">
    <w:name w:val="ListLabel 1029"/>
    <w:qFormat/>
    <w:rPr>
      <w:rFonts w:cs="Courier New"/>
    </w:rPr>
  </w:style>
  <w:style w:type="character" w:styleId="ListLabel1030" w:customStyle="1">
    <w:name w:val="ListLabel 1030"/>
    <w:qFormat/>
    <w:rPr>
      <w:rFonts w:cs="Wingdings"/>
    </w:rPr>
  </w:style>
  <w:style w:type="character" w:styleId="ListLabel1031" w:customStyle="1">
    <w:name w:val="ListLabel 1031"/>
    <w:qFormat/>
    <w:rPr>
      <w:rFonts w:cs="Symbol"/>
    </w:rPr>
  </w:style>
  <w:style w:type="character" w:styleId="ListLabel1032" w:customStyle="1">
    <w:name w:val="ListLabel 1032"/>
    <w:qFormat/>
    <w:rPr>
      <w:rFonts w:cs="Courier New"/>
    </w:rPr>
  </w:style>
  <w:style w:type="character" w:styleId="ListLabel1033" w:customStyle="1">
    <w:name w:val="ListLabel 1033"/>
    <w:qFormat/>
    <w:rPr>
      <w:rFonts w:cs="Wingdings"/>
    </w:rPr>
  </w:style>
  <w:style w:type="character" w:styleId="ListLabel1034" w:customStyle="1">
    <w:name w:val="ListLabel 1034"/>
    <w:qFormat/>
    <w:rPr>
      <w:rFonts w:cs="Times New Roman"/>
      <w:sz w:val="20"/>
    </w:rPr>
  </w:style>
  <w:style w:type="character" w:styleId="ListLabel1035" w:customStyle="1">
    <w:name w:val="ListLabel 1035"/>
    <w:qFormat/>
    <w:rPr>
      <w:rFonts w:cs="Courier New"/>
    </w:rPr>
  </w:style>
  <w:style w:type="character" w:styleId="ListLabel1036" w:customStyle="1">
    <w:name w:val="ListLabel 1036"/>
    <w:qFormat/>
    <w:rPr>
      <w:rFonts w:cs="Wingdings"/>
    </w:rPr>
  </w:style>
  <w:style w:type="character" w:styleId="ListLabel1037" w:customStyle="1">
    <w:name w:val="ListLabel 1037"/>
    <w:qFormat/>
    <w:rPr>
      <w:rFonts w:cs="Symbol"/>
    </w:rPr>
  </w:style>
  <w:style w:type="character" w:styleId="ListLabel1038" w:customStyle="1">
    <w:name w:val="ListLabel 1038"/>
    <w:qFormat/>
    <w:rPr>
      <w:rFonts w:cs="Courier New"/>
    </w:rPr>
  </w:style>
  <w:style w:type="character" w:styleId="ListLabel1039" w:customStyle="1">
    <w:name w:val="ListLabel 1039"/>
    <w:qFormat/>
    <w:rPr>
      <w:rFonts w:cs="Wingdings"/>
    </w:rPr>
  </w:style>
  <w:style w:type="character" w:styleId="ListLabel1040" w:customStyle="1">
    <w:name w:val="ListLabel 1040"/>
    <w:qFormat/>
    <w:rPr>
      <w:rFonts w:cs="Symbol"/>
    </w:rPr>
  </w:style>
  <w:style w:type="character" w:styleId="ListLabel1041" w:customStyle="1">
    <w:name w:val="ListLabel 1041"/>
    <w:qFormat/>
    <w:rPr>
      <w:rFonts w:cs="Courier New"/>
    </w:rPr>
  </w:style>
  <w:style w:type="character" w:styleId="ListLabel1042" w:customStyle="1">
    <w:name w:val="ListLabel 1042"/>
    <w:qFormat/>
    <w:rPr>
      <w:rFonts w:cs="Wingdings"/>
    </w:rPr>
  </w:style>
  <w:style w:type="character" w:styleId="ListLabel1043" w:customStyle="1">
    <w:name w:val="ListLabel 1043"/>
    <w:qFormat/>
    <w:rPr>
      <w:rFonts w:cs="Symbol"/>
    </w:rPr>
  </w:style>
  <w:style w:type="character" w:styleId="ListLabel1044" w:customStyle="1">
    <w:name w:val="ListLabel 1044"/>
    <w:qFormat/>
    <w:rPr>
      <w:rFonts w:cs="Times New Roman"/>
      <w:sz w:val="20"/>
    </w:rPr>
  </w:style>
  <w:style w:type="character" w:styleId="ListLabel1045" w:customStyle="1">
    <w:name w:val="ListLabel 1045"/>
    <w:qFormat/>
    <w:rPr>
      <w:rFonts w:cs="Times New Roman"/>
      <w:sz w:val="16"/>
    </w:rPr>
  </w:style>
  <w:style w:type="character" w:styleId="ListLabel1046" w:customStyle="1">
    <w:name w:val="ListLabel 1046"/>
    <w:qFormat/>
    <w:rPr>
      <w:rFonts w:cs="Courier New"/>
    </w:rPr>
  </w:style>
  <w:style w:type="character" w:styleId="ListLabel1047" w:customStyle="1">
    <w:name w:val="ListLabel 1047"/>
    <w:qFormat/>
    <w:rPr>
      <w:rFonts w:cs="Wingdings"/>
    </w:rPr>
  </w:style>
  <w:style w:type="character" w:styleId="ListLabel1048" w:customStyle="1">
    <w:name w:val="ListLabel 1048"/>
    <w:qFormat/>
    <w:rPr>
      <w:rFonts w:cs="Symbol"/>
    </w:rPr>
  </w:style>
  <w:style w:type="character" w:styleId="ListLabel1049" w:customStyle="1">
    <w:name w:val="ListLabel 1049"/>
    <w:qFormat/>
    <w:rPr>
      <w:rFonts w:cs="Courier New"/>
    </w:rPr>
  </w:style>
  <w:style w:type="character" w:styleId="ListLabel1050" w:customStyle="1">
    <w:name w:val="ListLabel 1050"/>
    <w:qFormat/>
    <w:rPr>
      <w:rFonts w:cs="Wingdings"/>
    </w:rPr>
  </w:style>
  <w:style w:type="character" w:styleId="ListLabel1051" w:customStyle="1">
    <w:name w:val="ListLabel 1051"/>
    <w:qFormat/>
    <w:rPr>
      <w:rFonts w:cs="Symbol"/>
    </w:rPr>
  </w:style>
  <w:style w:type="character" w:styleId="ListLabel1052" w:customStyle="1">
    <w:name w:val="ListLabel 1052"/>
    <w:qFormat/>
    <w:rPr>
      <w:rFonts w:cs="Courier New"/>
    </w:rPr>
  </w:style>
  <w:style w:type="character" w:styleId="ListLabel1053" w:customStyle="1">
    <w:name w:val="ListLabel 1053"/>
    <w:qFormat/>
    <w:rPr>
      <w:rFonts w:cs="Wingdings"/>
    </w:rPr>
  </w:style>
  <w:style w:type="character" w:styleId="ListLabel1054" w:customStyle="1">
    <w:name w:val="ListLabel 1054"/>
    <w:qFormat/>
    <w:rPr>
      <w:rFonts w:cs="Symbol"/>
      <w:sz w:val="20"/>
    </w:rPr>
  </w:style>
  <w:style w:type="character" w:styleId="ListLabel1055" w:customStyle="1">
    <w:name w:val="ListLabel 1055"/>
    <w:qFormat/>
    <w:rPr>
      <w:rFonts w:cs="Courier New"/>
    </w:rPr>
  </w:style>
  <w:style w:type="character" w:styleId="ListLabel1056" w:customStyle="1">
    <w:name w:val="ListLabel 1056"/>
    <w:qFormat/>
    <w:rPr>
      <w:rFonts w:cs="Wingdings"/>
    </w:rPr>
  </w:style>
  <w:style w:type="character" w:styleId="ListLabel1057" w:customStyle="1">
    <w:name w:val="ListLabel 1057"/>
    <w:qFormat/>
    <w:rPr>
      <w:rFonts w:cs="Symbol"/>
    </w:rPr>
  </w:style>
  <w:style w:type="character" w:styleId="ListLabel1058" w:customStyle="1">
    <w:name w:val="ListLabel 1058"/>
    <w:qFormat/>
    <w:rPr>
      <w:rFonts w:cs="Courier New"/>
    </w:rPr>
  </w:style>
  <w:style w:type="character" w:styleId="ListLabel1059" w:customStyle="1">
    <w:name w:val="ListLabel 1059"/>
    <w:qFormat/>
    <w:rPr>
      <w:rFonts w:cs="Wingdings"/>
    </w:rPr>
  </w:style>
  <w:style w:type="character" w:styleId="ListLabel1060" w:customStyle="1">
    <w:name w:val="ListLabel 1060"/>
    <w:qFormat/>
    <w:rPr>
      <w:rFonts w:cs="Symbol"/>
    </w:rPr>
  </w:style>
  <w:style w:type="character" w:styleId="ListLabel1061" w:customStyle="1">
    <w:name w:val="ListLabel 1061"/>
    <w:qFormat/>
    <w:rPr>
      <w:rFonts w:cs="Courier New"/>
    </w:rPr>
  </w:style>
  <w:style w:type="character" w:styleId="ListLabel1062" w:customStyle="1">
    <w:name w:val="ListLabel 1062"/>
    <w:qFormat/>
    <w:rPr>
      <w:rFonts w:cs="Wingdings"/>
    </w:rPr>
  </w:style>
  <w:style w:type="character" w:styleId="ListLabel1063" w:customStyle="1">
    <w:name w:val="ListLabel 1063"/>
    <w:qFormat/>
    <w:rPr>
      <w:rFonts w:cs="OpenSymbol"/>
    </w:rPr>
  </w:style>
  <w:style w:type="character" w:styleId="ListLabel1064" w:customStyle="1">
    <w:name w:val="ListLabel 1064"/>
    <w:qFormat/>
    <w:rPr>
      <w:rFonts w:cs="OpenSymbol"/>
    </w:rPr>
  </w:style>
  <w:style w:type="character" w:styleId="ListLabel1065" w:customStyle="1">
    <w:name w:val="ListLabel 1065"/>
    <w:qFormat/>
    <w:rPr>
      <w:rFonts w:cs="OpenSymbol"/>
    </w:rPr>
  </w:style>
  <w:style w:type="character" w:styleId="ListLabel1066" w:customStyle="1">
    <w:name w:val="ListLabel 1066"/>
    <w:qFormat/>
    <w:rPr>
      <w:rFonts w:cs="OpenSymbol"/>
    </w:rPr>
  </w:style>
  <w:style w:type="character" w:styleId="ListLabel1067" w:customStyle="1">
    <w:name w:val="ListLabel 1067"/>
    <w:qFormat/>
    <w:rPr>
      <w:rFonts w:cs="OpenSymbol"/>
    </w:rPr>
  </w:style>
  <w:style w:type="character" w:styleId="ListLabel1068" w:customStyle="1">
    <w:name w:val="ListLabel 1068"/>
    <w:qFormat/>
    <w:rPr>
      <w:rFonts w:cs="OpenSymbol"/>
    </w:rPr>
  </w:style>
  <w:style w:type="character" w:styleId="ListLabel1069" w:customStyle="1">
    <w:name w:val="ListLabel 1069"/>
    <w:qFormat/>
    <w:rPr>
      <w:rFonts w:cs="OpenSymbol"/>
    </w:rPr>
  </w:style>
  <w:style w:type="character" w:styleId="ListLabel1070" w:customStyle="1">
    <w:name w:val="ListLabel 1070"/>
    <w:qFormat/>
    <w:rPr>
      <w:rFonts w:cs="OpenSymbol"/>
    </w:rPr>
  </w:style>
  <w:style w:type="character" w:styleId="ListLabel1071" w:customStyle="1">
    <w:name w:val="ListLabel 1071"/>
    <w:qFormat/>
    <w:rPr>
      <w:rFonts w:cs="OpenSymbol"/>
    </w:rPr>
  </w:style>
  <w:style w:type="character" w:styleId="ListLabel1072" w:customStyle="1">
    <w:name w:val="ListLabel 1072"/>
    <w:qFormat/>
    <w:rPr>
      <w:rFonts w:cs="OpenSymbol"/>
    </w:rPr>
  </w:style>
  <w:style w:type="character" w:styleId="ListLabel1073" w:customStyle="1">
    <w:name w:val="ListLabel 1073"/>
    <w:qFormat/>
    <w:rPr>
      <w:rFonts w:cs="OpenSymbol"/>
    </w:rPr>
  </w:style>
  <w:style w:type="character" w:styleId="ListLabel1074" w:customStyle="1">
    <w:name w:val="ListLabel 1074"/>
    <w:qFormat/>
    <w:rPr>
      <w:rFonts w:cs="OpenSymbol"/>
    </w:rPr>
  </w:style>
  <w:style w:type="character" w:styleId="ListLabel1075" w:customStyle="1">
    <w:name w:val="ListLabel 1075"/>
    <w:qFormat/>
    <w:rPr>
      <w:rFonts w:cs="OpenSymbol"/>
    </w:rPr>
  </w:style>
  <w:style w:type="character" w:styleId="ListLabel1076" w:customStyle="1">
    <w:name w:val="ListLabel 1076"/>
    <w:qFormat/>
    <w:rPr>
      <w:rFonts w:cs="OpenSymbol"/>
    </w:rPr>
  </w:style>
  <w:style w:type="character" w:styleId="ListLabel1077" w:customStyle="1">
    <w:name w:val="ListLabel 1077"/>
    <w:qFormat/>
    <w:rPr>
      <w:rFonts w:cs="OpenSymbol"/>
    </w:rPr>
  </w:style>
  <w:style w:type="character" w:styleId="ListLabel1078" w:customStyle="1">
    <w:name w:val="ListLabel 1078"/>
    <w:qFormat/>
    <w:rPr>
      <w:rFonts w:cs="OpenSymbol"/>
    </w:rPr>
  </w:style>
  <w:style w:type="character" w:styleId="ListLabel1079" w:customStyle="1">
    <w:name w:val="ListLabel 1079"/>
    <w:qFormat/>
    <w:rPr>
      <w:rFonts w:cs="OpenSymbol"/>
    </w:rPr>
  </w:style>
  <w:style w:type="character" w:styleId="ListLabel1080" w:customStyle="1">
    <w:name w:val="ListLabel 1080"/>
    <w:qFormat/>
    <w:rPr>
      <w:rFonts w:cs="OpenSymbol"/>
    </w:rPr>
  </w:style>
  <w:style w:type="character" w:styleId="ListLabel1081" w:customStyle="1">
    <w:name w:val="ListLabel 1081"/>
    <w:qFormat/>
    <w:rPr>
      <w:rFonts w:cs="OpenSymbol"/>
    </w:rPr>
  </w:style>
  <w:style w:type="character" w:styleId="ListLabel1082" w:customStyle="1">
    <w:name w:val="ListLabel 1082"/>
    <w:qFormat/>
    <w:rPr>
      <w:rFonts w:cs="OpenSymbol"/>
    </w:rPr>
  </w:style>
  <w:style w:type="character" w:styleId="ListLabel1083" w:customStyle="1">
    <w:name w:val="ListLabel 1083"/>
    <w:qFormat/>
    <w:rPr>
      <w:rFonts w:cs="OpenSymbol"/>
    </w:rPr>
  </w:style>
  <w:style w:type="character" w:styleId="ListLabel1084" w:customStyle="1">
    <w:name w:val="ListLabel 1084"/>
    <w:qFormat/>
    <w:rPr>
      <w:rFonts w:cs="OpenSymbol"/>
    </w:rPr>
  </w:style>
  <w:style w:type="character" w:styleId="ListLabel1085" w:customStyle="1">
    <w:name w:val="ListLabel 1085"/>
    <w:qFormat/>
    <w:rPr>
      <w:rFonts w:cs="OpenSymbol"/>
    </w:rPr>
  </w:style>
  <w:style w:type="character" w:styleId="ListLabel1086" w:customStyle="1">
    <w:name w:val="ListLabel 1086"/>
    <w:qFormat/>
    <w:rPr>
      <w:rFonts w:cs="OpenSymbol"/>
    </w:rPr>
  </w:style>
  <w:style w:type="character" w:styleId="ListLabel1087" w:customStyle="1">
    <w:name w:val="ListLabel 1087"/>
    <w:qFormat/>
    <w:rPr>
      <w:rFonts w:cs="OpenSymbol"/>
    </w:rPr>
  </w:style>
  <w:style w:type="character" w:styleId="ListLabel1088" w:customStyle="1">
    <w:name w:val="ListLabel 1088"/>
    <w:qFormat/>
    <w:rPr>
      <w:rFonts w:cs="OpenSymbol"/>
    </w:rPr>
  </w:style>
  <w:style w:type="character" w:styleId="ListLabel1089" w:customStyle="1">
    <w:name w:val="ListLabel 1089"/>
    <w:qFormat/>
    <w:rPr>
      <w:rFonts w:cs="OpenSymbol"/>
    </w:rPr>
  </w:style>
  <w:style w:type="character" w:styleId="ListLabel1090" w:customStyle="1">
    <w:name w:val="ListLabel 1090"/>
    <w:qFormat/>
    <w:rPr>
      <w:rFonts w:cs="OpenSymbol"/>
    </w:rPr>
  </w:style>
  <w:style w:type="character" w:styleId="ListLabel1091" w:customStyle="1">
    <w:name w:val="ListLabel 1091"/>
    <w:qFormat/>
    <w:rPr>
      <w:rFonts w:cs="OpenSymbol"/>
    </w:rPr>
  </w:style>
  <w:style w:type="character" w:styleId="ListLabel1092" w:customStyle="1">
    <w:name w:val="ListLabel 1092"/>
    <w:qFormat/>
    <w:rPr>
      <w:rFonts w:cs="OpenSymbol"/>
    </w:rPr>
  </w:style>
  <w:style w:type="character" w:styleId="ListLabel1093" w:customStyle="1">
    <w:name w:val="ListLabel 1093"/>
    <w:qFormat/>
    <w:rPr>
      <w:rFonts w:cs="OpenSymbol"/>
    </w:rPr>
  </w:style>
  <w:style w:type="character" w:styleId="ListLabel1094" w:customStyle="1">
    <w:name w:val="ListLabel 1094"/>
    <w:qFormat/>
    <w:rPr>
      <w:rFonts w:cs="OpenSymbol"/>
    </w:rPr>
  </w:style>
  <w:style w:type="character" w:styleId="ListLabel1095" w:customStyle="1">
    <w:name w:val="ListLabel 1095"/>
    <w:qFormat/>
    <w:rPr>
      <w:rFonts w:cs="OpenSymbol"/>
    </w:rPr>
  </w:style>
  <w:style w:type="character" w:styleId="ListLabel1096" w:customStyle="1">
    <w:name w:val="ListLabel 1096"/>
    <w:qFormat/>
    <w:rPr>
      <w:rFonts w:cs="OpenSymbol"/>
    </w:rPr>
  </w:style>
  <w:style w:type="character" w:styleId="ListLabel1097" w:customStyle="1">
    <w:name w:val="ListLabel 1097"/>
    <w:qFormat/>
    <w:rPr>
      <w:rFonts w:cs="OpenSymbol"/>
    </w:rPr>
  </w:style>
  <w:style w:type="character" w:styleId="ListLabel1098" w:customStyle="1">
    <w:name w:val="ListLabel 1098"/>
    <w:qFormat/>
    <w:rPr>
      <w:rFonts w:cs="OpenSymbol"/>
    </w:rPr>
  </w:style>
  <w:style w:type="character" w:styleId="ListLabel1099" w:customStyle="1">
    <w:name w:val="ListLabel 1099"/>
    <w:qFormat/>
    <w:rPr>
      <w:rFonts w:cs="OpenSymbol"/>
    </w:rPr>
  </w:style>
  <w:style w:type="character" w:styleId="ListLabel1100" w:customStyle="1">
    <w:name w:val="ListLabel 1100"/>
    <w:qFormat/>
    <w:rPr>
      <w:rFonts w:cs="OpenSymbol"/>
    </w:rPr>
  </w:style>
  <w:style w:type="character" w:styleId="ListLabel1101" w:customStyle="1">
    <w:name w:val="ListLabel 1101"/>
    <w:qFormat/>
    <w:rPr>
      <w:rFonts w:cs="OpenSymbol"/>
    </w:rPr>
  </w:style>
  <w:style w:type="character" w:styleId="ListLabel1102" w:customStyle="1">
    <w:name w:val="ListLabel 1102"/>
    <w:qFormat/>
    <w:rPr>
      <w:rFonts w:cs="OpenSymbol"/>
    </w:rPr>
  </w:style>
  <w:style w:type="character" w:styleId="ListLabel1103" w:customStyle="1">
    <w:name w:val="ListLabel 1103"/>
    <w:qFormat/>
    <w:rPr>
      <w:rFonts w:cs="OpenSymbol"/>
    </w:rPr>
  </w:style>
  <w:style w:type="character" w:styleId="ListLabel1104" w:customStyle="1">
    <w:name w:val="ListLabel 1104"/>
    <w:qFormat/>
    <w:rPr>
      <w:rFonts w:cs="OpenSymbol"/>
    </w:rPr>
  </w:style>
  <w:style w:type="character" w:styleId="ListLabel1105" w:customStyle="1">
    <w:name w:val="ListLabel 1105"/>
    <w:qFormat/>
    <w:rPr>
      <w:rFonts w:cs="OpenSymbol"/>
    </w:rPr>
  </w:style>
  <w:style w:type="character" w:styleId="ListLabel1106" w:customStyle="1">
    <w:name w:val="ListLabel 1106"/>
    <w:qFormat/>
    <w:rPr>
      <w:rFonts w:cs="OpenSymbol"/>
    </w:rPr>
  </w:style>
  <w:style w:type="character" w:styleId="ListLabel1107" w:customStyle="1">
    <w:name w:val="ListLabel 1107"/>
    <w:qFormat/>
    <w:rPr>
      <w:rFonts w:cs="OpenSymbol"/>
    </w:rPr>
  </w:style>
  <w:style w:type="character" w:styleId="ListLabel1108" w:customStyle="1">
    <w:name w:val="ListLabel 1108"/>
    <w:qFormat/>
    <w:rPr>
      <w:rFonts w:cs="OpenSymbol"/>
    </w:rPr>
  </w:style>
  <w:style w:type="character" w:styleId="ListLabel1109" w:customStyle="1">
    <w:name w:val="ListLabel 1109"/>
    <w:qFormat/>
    <w:rPr>
      <w:rFonts w:cs="OpenSymbol"/>
    </w:rPr>
  </w:style>
  <w:style w:type="character" w:styleId="ListLabel1110" w:customStyle="1">
    <w:name w:val="ListLabel 1110"/>
    <w:qFormat/>
    <w:rPr>
      <w:rFonts w:cs="OpenSymbol"/>
    </w:rPr>
  </w:style>
  <w:style w:type="character" w:styleId="ListLabel1111" w:customStyle="1">
    <w:name w:val="ListLabel 1111"/>
    <w:qFormat/>
    <w:rPr>
      <w:rFonts w:cs="OpenSymbol"/>
    </w:rPr>
  </w:style>
  <w:style w:type="character" w:styleId="ListLabel1112" w:customStyle="1">
    <w:name w:val="ListLabel 1112"/>
    <w:qFormat/>
    <w:rPr>
      <w:rFonts w:cs="OpenSymbol"/>
    </w:rPr>
  </w:style>
  <w:style w:type="character" w:styleId="ListLabel1113" w:customStyle="1">
    <w:name w:val="ListLabel 1113"/>
    <w:qFormat/>
    <w:rPr>
      <w:rFonts w:cs="OpenSymbol"/>
    </w:rPr>
  </w:style>
  <w:style w:type="character" w:styleId="ListLabel1114" w:customStyle="1">
    <w:name w:val="ListLabel 1114"/>
    <w:qFormat/>
    <w:rPr>
      <w:rFonts w:cs="OpenSymbol"/>
    </w:rPr>
  </w:style>
  <w:style w:type="character" w:styleId="ListLabel1115" w:customStyle="1">
    <w:name w:val="ListLabel 1115"/>
    <w:qFormat/>
    <w:rPr>
      <w:rFonts w:cs="OpenSymbol"/>
    </w:rPr>
  </w:style>
  <w:style w:type="character" w:styleId="ListLabel1116" w:customStyle="1">
    <w:name w:val="ListLabel 1116"/>
    <w:qFormat/>
    <w:rPr>
      <w:rFonts w:cs="OpenSymbol"/>
    </w:rPr>
  </w:style>
  <w:style w:type="character" w:styleId="ListLabel1117" w:customStyle="1">
    <w:name w:val="ListLabel 1117"/>
    <w:qFormat/>
    <w:rPr>
      <w:szCs w:val="20"/>
    </w:rPr>
  </w:style>
  <w:style w:type="character" w:styleId="ListLabel1118" w:customStyle="1">
    <w:name w:val="ListLabel 1118"/>
    <w:qFormat/>
    <w:rPr>
      <w:szCs w:val="20"/>
      <w:u w:val="none"/>
    </w:rPr>
  </w:style>
  <w:style w:type="character" w:styleId="ListLabel1119" w:customStyle="1">
    <w:name w:val="ListLabel 1119"/>
    <w:qFormat/>
    <w:rPr/>
  </w:style>
  <w:style w:type="character" w:styleId="ListLabel1120" w:customStyle="1">
    <w:name w:val="ListLabel 1120"/>
    <w:qFormat/>
    <w:rPr>
      <w:sz w:val="20"/>
      <w:szCs w:val="20"/>
      <w:u w:val="none"/>
    </w:rPr>
  </w:style>
  <w:style w:type="character" w:styleId="ListLabel1121" w:customStyle="1">
    <w:name w:val="ListLabel 1121"/>
    <w:qFormat/>
    <w:rPr/>
  </w:style>
  <w:style w:type="character" w:styleId="ListLabel1122" w:customStyle="1">
    <w:name w:val="ListLabel 1122"/>
    <w:qFormat/>
    <w:rPr/>
  </w:style>
  <w:style w:type="character" w:styleId="ListLabel1123" w:customStyle="1">
    <w:name w:val="ListLabel 1123"/>
    <w:qFormat/>
    <w:rPr>
      <w:rFonts w:cs="OpenSymbol"/>
      <w:sz w:val="20"/>
    </w:rPr>
  </w:style>
  <w:style w:type="character" w:styleId="ListLabel1124" w:customStyle="1">
    <w:name w:val="ListLabel 1124"/>
    <w:qFormat/>
    <w:rPr>
      <w:rFonts w:cs="OpenSymbol;Arial Unicode MS"/>
      <w:lang w:val="nl-NL"/>
    </w:rPr>
  </w:style>
  <w:style w:type="character" w:styleId="ListLabel1125" w:customStyle="1">
    <w:name w:val="ListLabel 1125"/>
    <w:qFormat/>
    <w:rPr>
      <w:rFonts w:cs="OpenSymbol;Arial Unicode MS"/>
      <w:lang w:val="nl-NL"/>
    </w:rPr>
  </w:style>
  <w:style w:type="character" w:styleId="ListLabel1126" w:customStyle="1">
    <w:name w:val="ListLabel 1126"/>
    <w:qFormat/>
    <w:rPr>
      <w:rFonts w:cs="OpenSymbol;Arial Unicode MS"/>
      <w:lang w:val="nl-NL"/>
    </w:rPr>
  </w:style>
  <w:style w:type="character" w:styleId="ListLabel1127" w:customStyle="1">
    <w:name w:val="ListLabel 1127"/>
    <w:qFormat/>
    <w:rPr>
      <w:rFonts w:cs="OpenSymbol;Arial Unicode MS"/>
      <w:lang w:val="nl-NL"/>
    </w:rPr>
  </w:style>
  <w:style w:type="character" w:styleId="ListLabel1128" w:customStyle="1">
    <w:name w:val="ListLabel 1128"/>
    <w:qFormat/>
    <w:rPr>
      <w:rFonts w:cs="OpenSymbol;Arial Unicode MS"/>
      <w:lang w:val="nl-NL"/>
    </w:rPr>
  </w:style>
  <w:style w:type="character" w:styleId="ListLabel1129" w:customStyle="1">
    <w:name w:val="ListLabel 1129"/>
    <w:qFormat/>
    <w:rPr>
      <w:rFonts w:cs="OpenSymbol;Arial Unicode MS"/>
      <w:lang w:val="nl-NL"/>
    </w:rPr>
  </w:style>
  <w:style w:type="character" w:styleId="ListLabel1130" w:customStyle="1">
    <w:name w:val="ListLabel 1130"/>
    <w:qFormat/>
    <w:rPr>
      <w:rFonts w:cs="OpenSymbol;Arial Unicode MS"/>
      <w:lang w:val="nl-NL"/>
    </w:rPr>
  </w:style>
  <w:style w:type="character" w:styleId="ListLabel1131" w:customStyle="1">
    <w:name w:val="ListLabel 1131"/>
    <w:qFormat/>
    <w:rPr>
      <w:rFonts w:cs="OpenSymbol;Arial Unicode MS"/>
      <w:lang w:val="nl-NL"/>
    </w:rPr>
  </w:style>
  <w:style w:type="character" w:styleId="ListLabel1132" w:customStyle="1">
    <w:name w:val="ListLabel 1132"/>
    <w:qFormat/>
    <w:rPr>
      <w:rFonts w:cs="OpenSymbol"/>
      <w:sz w:val="20"/>
    </w:rPr>
  </w:style>
  <w:style w:type="character" w:styleId="ListLabel1133" w:customStyle="1">
    <w:name w:val="ListLabel 1133"/>
    <w:qFormat/>
    <w:rPr>
      <w:rFonts w:cs="OpenSymbol"/>
    </w:rPr>
  </w:style>
  <w:style w:type="character" w:styleId="ListLabel1134" w:customStyle="1">
    <w:name w:val="ListLabel 1134"/>
    <w:qFormat/>
    <w:rPr>
      <w:rFonts w:cs="OpenSymbol"/>
    </w:rPr>
  </w:style>
  <w:style w:type="character" w:styleId="ListLabel1135" w:customStyle="1">
    <w:name w:val="ListLabel 1135"/>
    <w:qFormat/>
    <w:rPr>
      <w:rFonts w:cs="OpenSymbol"/>
    </w:rPr>
  </w:style>
  <w:style w:type="character" w:styleId="ListLabel1136" w:customStyle="1">
    <w:name w:val="ListLabel 1136"/>
    <w:qFormat/>
    <w:rPr>
      <w:rFonts w:cs="OpenSymbol"/>
    </w:rPr>
  </w:style>
  <w:style w:type="character" w:styleId="ListLabel1137" w:customStyle="1">
    <w:name w:val="ListLabel 1137"/>
    <w:qFormat/>
    <w:rPr>
      <w:rFonts w:cs="OpenSymbol"/>
    </w:rPr>
  </w:style>
  <w:style w:type="character" w:styleId="ListLabel1138" w:customStyle="1">
    <w:name w:val="ListLabel 1138"/>
    <w:qFormat/>
    <w:rPr>
      <w:rFonts w:cs="OpenSymbol"/>
    </w:rPr>
  </w:style>
  <w:style w:type="character" w:styleId="ListLabel1139" w:customStyle="1">
    <w:name w:val="ListLabel 1139"/>
    <w:qFormat/>
    <w:rPr>
      <w:rFonts w:cs="OpenSymbol"/>
    </w:rPr>
  </w:style>
  <w:style w:type="character" w:styleId="ListLabel1140" w:customStyle="1">
    <w:name w:val="ListLabel 1140"/>
    <w:qFormat/>
    <w:rPr>
      <w:rFonts w:cs="OpenSymbol"/>
    </w:rPr>
  </w:style>
  <w:style w:type="character" w:styleId="ListLabel1141" w:customStyle="1">
    <w:name w:val="ListLabel 1141"/>
    <w:qFormat/>
    <w:rPr>
      <w:rFonts w:cs="OpenSymbol"/>
      <w:sz w:val="20"/>
    </w:rPr>
  </w:style>
  <w:style w:type="character" w:styleId="ListLabel1142" w:customStyle="1">
    <w:name w:val="ListLabel 1142"/>
    <w:qFormat/>
    <w:rPr>
      <w:rFonts w:cs="OpenSymbol"/>
    </w:rPr>
  </w:style>
  <w:style w:type="character" w:styleId="ListLabel1143" w:customStyle="1">
    <w:name w:val="ListLabel 1143"/>
    <w:qFormat/>
    <w:rPr>
      <w:rFonts w:cs="OpenSymbol"/>
    </w:rPr>
  </w:style>
  <w:style w:type="character" w:styleId="ListLabel1144" w:customStyle="1">
    <w:name w:val="ListLabel 1144"/>
    <w:qFormat/>
    <w:rPr>
      <w:rFonts w:cs="OpenSymbol"/>
    </w:rPr>
  </w:style>
  <w:style w:type="character" w:styleId="ListLabel1145" w:customStyle="1">
    <w:name w:val="ListLabel 1145"/>
    <w:qFormat/>
    <w:rPr>
      <w:rFonts w:cs="OpenSymbol"/>
    </w:rPr>
  </w:style>
  <w:style w:type="character" w:styleId="ListLabel1146" w:customStyle="1">
    <w:name w:val="ListLabel 1146"/>
    <w:qFormat/>
    <w:rPr>
      <w:rFonts w:cs="OpenSymbol"/>
    </w:rPr>
  </w:style>
  <w:style w:type="character" w:styleId="ListLabel1147" w:customStyle="1">
    <w:name w:val="ListLabel 1147"/>
    <w:qFormat/>
    <w:rPr>
      <w:rFonts w:cs="OpenSymbol"/>
    </w:rPr>
  </w:style>
  <w:style w:type="character" w:styleId="ListLabel1148" w:customStyle="1">
    <w:name w:val="ListLabel 1148"/>
    <w:qFormat/>
    <w:rPr>
      <w:rFonts w:cs="OpenSymbol"/>
    </w:rPr>
  </w:style>
  <w:style w:type="character" w:styleId="ListLabel1149" w:customStyle="1">
    <w:name w:val="ListLabel 1149"/>
    <w:qFormat/>
    <w:rPr>
      <w:rFonts w:cs="OpenSymbol"/>
    </w:rPr>
  </w:style>
  <w:style w:type="character" w:styleId="ListLabel1150" w:customStyle="1">
    <w:name w:val="ListLabel 1150"/>
    <w:qFormat/>
    <w:rPr>
      <w:rFonts w:cs="OpenSymbol"/>
      <w:sz w:val="20"/>
    </w:rPr>
  </w:style>
  <w:style w:type="character" w:styleId="ListLabel1151" w:customStyle="1">
    <w:name w:val="ListLabel 1151"/>
    <w:qFormat/>
    <w:rPr>
      <w:rFonts w:cs="OpenSymbol"/>
    </w:rPr>
  </w:style>
  <w:style w:type="character" w:styleId="ListLabel1152" w:customStyle="1">
    <w:name w:val="ListLabel 1152"/>
    <w:qFormat/>
    <w:rPr>
      <w:rFonts w:cs="OpenSymbol"/>
    </w:rPr>
  </w:style>
  <w:style w:type="character" w:styleId="ListLabel1153" w:customStyle="1">
    <w:name w:val="ListLabel 1153"/>
    <w:qFormat/>
    <w:rPr>
      <w:rFonts w:cs="OpenSymbol"/>
    </w:rPr>
  </w:style>
  <w:style w:type="character" w:styleId="ListLabel1154" w:customStyle="1">
    <w:name w:val="ListLabel 1154"/>
    <w:qFormat/>
    <w:rPr>
      <w:rFonts w:cs="OpenSymbol"/>
    </w:rPr>
  </w:style>
  <w:style w:type="character" w:styleId="ListLabel1155" w:customStyle="1">
    <w:name w:val="ListLabel 1155"/>
    <w:qFormat/>
    <w:rPr>
      <w:rFonts w:cs="OpenSymbol"/>
    </w:rPr>
  </w:style>
  <w:style w:type="character" w:styleId="ListLabel1156" w:customStyle="1">
    <w:name w:val="ListLabel 1156"/>
    <w:qFormat/>
    <w:rPr>
      <w:rFonts w:cs="OpenSymbol"/>
    </w:rPr>
  </w:style>
  <w:style w:type="character" w:styleId="ListLabel1157" w:customStyle="1">
    <w:name w:val="ListLabel 1157"/>
    <w:qFormat/>
    <w:rPr>
      <w:rFonts w:cs="OpenSymbol"/>
    </w:rPr>
  </w:style>
  <w:style w:type="character" w:styleId="ListLabel1158" w:customStyle="1">
    <w:name w:val="ListLabel 1158"/>
    <w:qFormat/>
    <w:rPr>
      <w:rFonts w:cs="OpenSymbol"/>
    </w:rPr>
  </w:style>
  <w:style w:type="character" w:styleId="ListLabel1159" w:customStyle="1">
    <w:name w:val="ListLabel 1159"/>
    <w:qFormat/>
    <w:rPr>
      <w:rFonts w:cs="OpenSymbol"/>
      <w:sz w:val="20"/>
    </w:rPr>
  </w:style>
  <w:style w:type="character" w:styleId="ListLabel1160" w:customStyle="1">
    <w:name w:val="ListLabel 1160"/>
    <w:qFormat/>
    <w:rPr>
      <w:rFonts w:cs="OpenSymbol"/>
    </w:rPr>
  </w:style>
  <w:style w:type="character" w:styleId="ListLabel1161" w:customStyle="1">
    <w:name w:val="ListLabel 1161"/>
    <w:qFormat/>
    <w:rPr>
      <w:rFonts w:cs="OpenSymbol"/>
    </w:rPr>
  </w:style>
  <w:style w:type="character" w:styleId="ListLabel1162" w:customStyle="1">
    <w:name w:val="ListLabel 1162"/>
    <w:qFormat/>
    <w:rPr>
      <w:rFonts w:cs="OpenSymbol"/>
    </w:rPr>
  </w:style>
  <w:style w:type="character" w:styleId="ListLabel1163" w:customStyle="1">
    <w:name w:val="ListLabel 1163"/>
    <w:qFormat/>
    <w:rPr>
      <w:rFonts w:cs="OpenSymbol"/>
    </w:rPr>
  </w:style>
  <w:style w:type="character" w:styleId="ListLabel1164" w:customStyle="1">
    <w:name w:val="ListLabel 1164"/>
    <w:qFormat/>
    <w:rPr>
      <w:rFonts w:cs="OpenSymbol"/>
    </w:rPr>
  </w:style>
  <w:style w:type="character" w:styleId="ListLabel1165" w:customStyle="1">
    <w:name w:val="ListLabel 1165"/>
    <w:qFormat/>
    <w:rPr>
      <w:rFonts w:cs="OpenSymbol"/>
    </w:rPr>
  </w:style>
  <w:style w:type="character" w:styleId="ListLabel1166" w:customStyle="1">
    <w:name w:val="ListLabel 1166"/>
    <w:qFormat/>
    <w:rPr>
      <w:rFonts w:cs="OpenSymbol"/>
    </w:rPr>
  </w:style>
  <w:style w:type="character" w:styleId="ListLabel1167" w:customStyle="1">
    <w:name w:val="ListLabel 1167"/>
    <w:qFormat/>
    <w:rPr>
      <w:rFonts w:cs="OpenSymbol"/>
    </w:rPr>
  </w:style>
  <w:style w:type="character" w:styleId="ListLabel1168" w:customStyle="1">
    <w:name w:val="ListLabel 1168"/>
    <w:qFormat/>
    <w:rPr>
      <w:rFonts w:cs="OpenSymbol"/>
      <w:sz w:val="20"/>
    </w:rPr>
  </w:style>
  <w:style w:type="character" w:styleId="ListLabel1169" w:customStyle="1">
    <w:name w:val="ListLabel 1169"/>
    <w:qFormat/>
    <w:rPr>
      <w:rFonts w:cs="OpenSymbol"/>
    </w:rPr>
  </w:style>
  <w:style w:type="character" w:styleId="ListLabel1170" w:customStyle="1">
    <w:name w:val="ListLabel 1170"/>
    <w:qFormat/>
    <w:rPr>
      <w:rFonts w:cs="OpenSymbol"/>
    </w:rPr>
  </w:style>
  <w:style w:type="character" w:styleId="ListLabel1171" w:customStyle="1">
    <w:name w:val="ListLabel 1171"/>
    <w:qFormat/>
    <w:rPr>
      <w:rFonts w:cs="OpenSymbol"/>
    </w:rPr>
  </w:style>
  <w:style w:type="character" w:styleId="ListLabel1172" w:customStyle="1">
    <w:name w:val="ListLabel 1172"/>
    <w:qFormat/>
    <w:rPr>
      <w:rFonts w:cs="OpenSymbol"/>
    </w:rPr>
  </w:style>
  <w:style w:type="character" w:styleId="ListLabel1173" w:customStyle="1">
    <w:name w:val="ListLabel 1173"/>
    <w:qFormat/>
    <w:rPr>
      <w:rFonts w:cs="OpenSymbol"/>
    </w:rPr>
  </w:style>
  <w:style w:type="character" w:styleId="ListLabel1174" w:customStyle="1">
    <w:name w:val="ListLabel 1174"/>
    <w:qFormat/>
    <w:rPr>
      <w:rFonts w:cs="OpenSymbol"/>
    </w:rPr>
  </w:style>
  <w:style w:type="character" w:styleId="ListLabel1175" w:customStyle="1">
    <w:name w:val="ListLabel 1175"/>
    <w:qFormat/>
    <w:rPr>
      <w:rFonts w:cs="OpenSymbol"/>
    </w:rPr>
  </w:style>
  <w:style w:type="character" w:styleId="ListLabel1176" w:customStyle="1">
    <w:name w:val="ListLabel 1176"/>
    <w:qFormat/>
    <w:rPr>
      <w:rFonts w:cs="OpenSymbol"/>
    </w:rPr>
  </w:style>
  <w:style w:type="character" w:styleId="ListLabel1177" w:customStyle="1">
    <w:name w:val="ListLabel 1177"/>
    <w:qFormat/>
    <w:rPr>
      <w:rFonts w:cs="OpenSymbol"/>
      <w:sz w:val="20"/>
    </w:rPr>
  </w:style>
  <w:style w:type="character" w:styleId="ListLabel1178" w:customStyle="1">
    <w:name w:val="ListLabel 1178"/>
    <w:qFormat/>
    <w:rPr>
      <w:rFonts w:cs="OpenSymbol"/>
    </w:rPr>
  </w:style>
  <w:style w:type="character" w:styleId="ListLabel1179" w:customStyle="1">
    <w:name w:val="ListLabel 1179"/>
    <w:qFormat/>
    <w:rPr>
      <w:rFonts w:cs="OpenSymbol"/>
    </w:rPr>
  </w:style>
  <w:style w:type="character" w:styleId="ListLabel1180" w:customStyle="1">
    <w:name w:val="ListLabel 1180"/>
    <w:qFormat/>
    <w:rPr>
      <w:rFonts w:cs="OpenSymbol"/>
    </w:rPr>
  </w:style>
  <w:style w:type="character" w:styleId="ListLabel1181" w:customStyle="1">
    <w:name w:val="ListLabel 1181"/>
    <w:qFormat/>
    <w:rPr>
      <w:rFonts w:cs="OpenSymbol"/>
    </w:rPr>
  </w:style>
  <w:style w:type="character" w:styleId="ListLabel1182" w:customStyle="1">
    <w:name w:val="ListLabel 1182"/>
    <w:qFormat/>
    <w:rPr>
      <w:rFonts w:cs="OpenSymbol"/>
    </w:rPr>
  </w:style>
  <w:style w:type="character" w:styleId="ListLabel1183" w:customStyle="1">
    <w:name w:val="ListLabel 1183"/>
    <w:qFormat/>
    <w:rPr>
      <w:rFonts w:cs="OpenSymbol"/>
    </w:rPr>
  </w:style>
  <w:style w:type="character" w:styleId="ListLabel1184" w:customStyle="1">
    <w:name w:val="ListLabel 1184"/>
    <w:qFormat/>
    <w:rPr>
      <w:rFonts w:cs="OpenSymbol"/>
    </w:rPr>
  </w:style>
  <w:style w:type="character" w:styleId="ListLabel1185" w:customStyle="1">
    <w:name w:val="ListLabel 1185"/>
    <w:qFormat/>
    <w:rPr>
      <w:rFonts w:cs="OpenSymbol"/>
    </w:rPr>
  </w:style>
  <w:style w:type="character" w:styleId="ListLabel1186" w:customStyle="1">
    <w:name w:val="ListLabel 1186"/>
    <w:qFormat/>
    <w:rPr>
      <w:rFonts w:cs="Times New Roman"/>
      <w:sz w:val="20"/>
    </w:rPr>
  </w:style>
  <w:style w:type="character" w:styleId="ListLabel1187" w:customStyle="1">
    <w:name w:val="ListLabel 1187"/>
    <w:qFormat/>
    <w:rPr>
      <w:rFonts w:cs="Courier New"/>
    </w:rPr>
  </w:style>
  <w:style w:type="character" w:styleId="ListLabel1188" w:customStyle="1">
    <w:name w:val="ListLabel 1188"/>
    <w:qFormat/>
    <w:rPr>
      <w:rFonts w:cs="Wingdings"/>
    </w:rPr>
  </w:style>
  <w:style w:type="character" w:styleId="ListLabel1189" w:customStyle="1">
    <w:name w:val="ListLabel 1189"/>
    <w:qFormat/>
    <w:rPr>
      <w:rFonts w:cs="Symbol"/>
    </w:rPr>
  </w:style>
  <w:style w:type="character" w:styleId="ListLabel1190" w:customStyle="1">
    <w:name w:val="ListLabel 1190"/>
    <w:qFormat/>
    <w:rPr>
      <w:rFonts w:cs="Courier New"/>
    </w:rPr>
  </w:style>
  <w:style w:type="character" w:styleId="ListLabel1191" w:customStyle="1">
    <w:name w:val="ListLabel 1191"/>
    <w:qFormat/>
    <w:rPr>
      <w:rFonts w:cs="Wingdings"/>
    </w:rPr>
  </w:style>
  <w:style w:type="character" w:styleId="ListLabel1192" w:customStyle="1">
    <w:name w:val="ListLabel 1192"/>
    <w:qFormat/>
    <w:rPr>
      <w:rFonts w:cs="Symbol"/>
    </w:rPr>
  </w:style>
  <w:style w:type="character" w:styleId="ListLabel1193" w:customStyle="1">
    <w:name w:val="ListLabel 1193"/>
    <w:qFormat/>
    <w:rPr>
      <w:rFonts w:cs="Courier New"/>
    </w:rPr>
  </w:style>
  <w:style w:type="character" w:styleId="ListLabel1194" w:customStyle="1">
    <w:name w:val="ListLabel 1194"/>
    <w:qFormat/>
    <w:rPr>
      <w:rFonts w:cs="Wingdings"/>
    </w:rPr>
  </w:style>
  <w:style w:type="character" w:styleId="ListLabel1195" w:customStyle="1">
    <w:name w:val="ListLabel 1195"/>
    <w:qFormat/>
    <w:rPr>
      <w:rFonts w:cs="OpenSymbol"/>
      <w:sz w:val="20"/>
    </w:rPr>
  </w:style>
  <w:style w:type="character" w:styleId="ListLabel1196" w:customStyle="1">
    <w:name w:val="ListLabel 1196"/>
    <w:qFormat/>
    <w:rPr>
      <w:rFonts w:cs="Courier New"/>
    </w:rPr>
  </w:style>
  <w:style w:type="character" w:styleId="ListLabel1197" w:customStyle="1">
    <w:name w:val="ListLabel 1197"/>
    <w:qFormat/>
    <w:rPr>
      <w:rFonts w:cs="Wingdings"/>
    </w:rPr>
  </w:style>
  <w:style w:type="character" w:styleId="ListLabel1198" w:customStyle="1">
    <w:name w:val="ListLabel 1198"/>
    <w:qFormat/>
    <w:rPr>
      <w:rFonts w:cs="Symbol"/>
    </w:rPr>
  </w:style>
  <w:style w:type="character" w:styleId="ListLabel1199" w:customStyle="1">
    <w:name w:val="ListLabel 1199"/>
    <w:qFormat/>
    <w:rPr>
      <w:rFonts w:cs="Courier New"/>
    </w:rPr>
  </w:style>
  <w:style w:type="character" w:styleId="ListLabel1200" w:customStyle="1">
    <w:name w:val="ListLabel 1200"/>
    <w:qFormat/>
    <w:rPr>
      <w:rFonts w:cs="Wingdings"/>
    </w:rPr>
  </w:style>
  <w:style w:type="character" w:styleId="ListLabel1201" w:customStyle="1">
    <w:name w:val="ListLabel 1201"/>
    <w:qFormat/>
    <w:rPr>
      <w:rFonts w:cs="Symbol"/>
    </w:rPr>
  </w:style>
  <w:style w:type="character" w:styleId="ListLabel1202" w:customStyle="1">
    <w:name w:val="ListLabel 1202"/>
    <w:qFormat/>
    <w:rPr>
      <w:rFonts w:cs="Courier New"/>
    </w:rPr>
  </w:style>
  <w:style w:type="character" w:styleId="ListLabel1203" w:customStyle="1">
    <w:name w:val="ListLabel 1203"/>
    <w:qFormat/>
    <w:rPr>
      <w:rFonts w:cs="Wingdings"/>
    </w:rPr>
  </w:style>
  <w:style w:type="character" w:styleId="ListLabel1204" w:customStyle="1">
    <w:name w:val="ListLabel 1204"/>
    <w:qFormat/>
    <w:rPr>
      <w:rFonts w:cs="Times New Roman"/>
      <w:sz w:val="20"/>
    </w:rPr>
  </w:style>
  <w:style w:type="character" w:styleId="ListLabel1205" w:customStyle="1">
    <w:name w:val="ListLabel 1205"/>
    <w:qFormat/>
    <w:rPr>
      <w:rFonts w:cs="Courier New"/>
    </w:rPr>
  </w:style>
  <w:style w:type="character" w:styleId="ListLabel1206" w:customStyle="1">
    <w:name w:val="ListLabel 1206"/>
    <w:qFormat/>
    <w:rPr>
      <w:rFonts w:cs="Wingdings"/>
    </w:rPr>
  </w:style>
  <w:style w:type="character" w:styleId="ListLabel1207" w:customStyle="1">
    <w:name w:val="ListLabel 1207"/>
    <w:qFormat/>
    <w:rPr>
      <w:rFonts w:cs="Symbol"/>
    </w:rPr>
  </w:style>
  <w:style w:type="character" w:styleId="ListLabel1208" w:customStyle="1">
    <w:name w:val="ListLabel 1208"/>
    <w:qFormat/>
    <w:rPr>
      <w:rFonts w:cs="Courier New"/>
    </w:rPr>
  </w:style>
  <w:style w:type="character" w:styleId="ListLabel1209" w:customStyle="1">
    <w:name w:val="ListLabel 1209"/>
    <w:qFormat/>
    <w:rPr>
      <w:rFonts w:cs="Wingdings"/>
    </w:rPr>
  </w:style>
  <w:style w:type="character" w:styleId="ListLabel1210" w:customStyle="1">
    <w:name w:val="ListLabel 1210"/>
    <w:qFormat/>
    <w:rPr>
      <w:rFonts w:cs="Symbol"/>
    </w:rPr>
  </w:style>
  <w:style w:type="character" w:styleId="ListLabel1211" w:customStyle="1">
    <w:name w:val="ListLabel 1211"/>
    <w:qFormat/>
    <w:rPr>
      <w:rFonts w:cs="Courier New"/>
    </w:rPr>
  </w:style>
  <w:style w:type="character" w:styleId="ListLabel1212" w:customStyle="1">
    <w:name w:val="ListLabel 1212"/>
    <w:qFormat/>
    <w:rPr>
      <w:rFonts w:cs="Wingdings"/>
    </w:rPr>
  </w:style>
  <w:style w:type="character" w:styleId="ListLabel1213" w:customStyle="1">
    <w:name w:val="ListLabel 1213"/>
    <w:qFormat/>
    <w:rPr>
      <w:rFonts w:cs="Symbol"/>
    </w:rPr>
  </w:style>
  <w:style w:type="character" w:styleId="ListLabel1214" w:customStyle="1">
    <w:name w:val="ListLabel 1214"/>
    <w:qFormat/>
    <w:rPr>
      <w:rFonts w:cs="Times New Roman"/>
      <w:sz w:val="20"/>
    </w:rPr>
  </w:style>
  <w:style w:type="character" w:styleId="ListLabel1215" w:customStyle="1">
    <w:name w:val="ListLabel 1215"/>
    <w:qFormat/>
    <w:rPr>
      <w:rFonts w:cs="Times New Roman"/>
      <w:sz w:val="16"/>
    </w:rPr>
  </w:style>
  <w:style w:type="character" w:styleId="ListLabel1216" w:customStyle="1">
    <w:name w:val="ListLabel 1216"/>
    <w:qFormat/>
    <w:rPr>
      <w:rFonts w:cs="Courier New"/>
    </w:rPr>
  </w:style>
  <w:style w:type="character" w:styleId="ListLabel1217" w:customStyle="1">
    <w:name w:val="ListLabel 1217"/>
    <w:qFormat/>
    <w:rPr>
      <w:rFonts w:cs="Wingdings"/>
    </w:rPr>
  </w:style>
  <w:style w:type="character" w:styleId="ListLabel1218" w:customStyle="1">
    <w:name w:val="ListLabel 1218"/>
    <w:qFormat/>
    <w:rPr>
      <w:rFonts w:cs="Symbol"/>
    </w:rPr>
  </w:style>
  <w:style w:type="character" w:styleId="ListLabel1219" w:customStyle="1">
    <w:name w:val="ListLabel 1219"/>
    <w:qFormat/>
    <w:rPr>
      <w:rFonts w:cs="Courier New"/>
    </w:rPr>
  </w:style>
  <w:style w:type="character" w:styleId="ListLabel1220" w:customStyle="1">
    <w:name w:val="ListLabel 1220"/>
    <w:qFormat/>
    <w:rPr>
      <w:rFonts w:cs="Wingdings"/>
    </w:rPr>
  </w:style>
  <w:style w:type="character" w:styleId="ListLabel1221" w:customStyle="1">
    <w:name w:val="ListLabel 1221"/>
    <w:qFormat/>
    <w:rPr>
      <w:rFonts w:cs="Symbol"/>
    </w:rPr>
  </w:style>
  <w:style w:type="character" w:styleId="ListLabel1222" w:customStyle="1">
    <w:name w:val="ListLabel 1222"/>
    <w:qFormat/>
    <w:rPr>
      <w:rFonts w:cs="Courier New"/>
    </w:rPr>
  </w:style>
  <w:style w:type="character" w:styleId="ListLabel1223" w:customStyle="1">
    <w:name w:val="ListLabel 1223"/>
    <w:qFormat/>
    <w:rPr>
      <w:rFonts w:cs="Wingdings"/>
    </w:rPr>
  </w:style>
  <w:style w:type="character" w:styleId="ListLabel1224" w:customStyle="1">
    <w:name w:val="ListLabel 1224"/>
    <w:qFormat/>
    <w:rPr>
      <w:rFonts w:cs="Symbol"/>
      <w:sz w:val="20"/>
    </w:rPr>
  </w:style>
  <w:style w:type="character" w:styleId="ListLabel1225" w:customStyle="1">
    <w:name w:val="ListLabel 1225"/>
    <w:qFormat/>
    <w:rPr>
      <w:rFonts w:cs="Courier New"/>
    </w:rPr>
  </w:style>
  <w:style w:type="character" w:styleId="ListLabel1226" w:customStyle="1">
    <w:name w:val="ListLabel 1226"/>
    <w:qFormat/>
    <w:rPr>
      <w:rFonts w:cs="Wingdings"/>
    </w:rPr>
  </w:style>
  <w:style w:type="character" w:styleId="ListLabel1227" w:customStyle="1">
    <w:name w:val="ListLabel 1227"/>
    <w:qFormat/>
    <w:rPr>
      <w:rFonts w:cs="Symbol"/>
    </w:rPr>
  </w:style>
  <w:style w:type="character" w:styleId="ListLabel1228" w:customStyle="1">
    <w:name w:val="ListLabel 1228"/>
    <w:qFormat/>
    <w:rPr>
      <w:rFonts w:cs="Courier New"/>
    </w:rPr>
  </w:style>
  <w:style w:type="character" w:styleId="ListLabel1229" w:customStyle="1">
    <w:name w:val="ListLabel 1229"/>
    <w:qFormat/>
    <w:rPr>
      <w:rFonts w:cs="Wingdings"/>
    </w:rPr>
  </w:style>
  <w:style w:type="character" w:styleId="ListLabel1230" w:customStyle="1">
    <w:name w:val="ListLabel 1230"/>
    <w:qFormat/>
    <w:rPr>
      <w:rFonts w:cs="Symbol"/>
    </w:rPr>
  </w:style>
  <w:style w:type="character" w:styleId="ListLabel1231" w:customStyle="1">
    <w:name w:val="ListLabel 1231"/>
    <w:qFormat/>
    <w:rPr>
      <w:rFonts w:cs="Courier New"/>
    </w:rPr>
  </w:style>
  <w:style w:type="character" w:styleId="ListLabel1232" w:customStyle="1">
    <w:name w:val="ListLabel 1232"/>
    <w:qFormat/>
    <w:rPr>
      <w:rFonts w:cs="Wingdings"/>
    </w:rPr>
  </w:style>
  <w:style w:type="character" w:styleId="ListLabel1233" w:customStyle="1">
    <w:name w:val="ListLabel 1233"/>
    <w:qFormat/>
    <w:rPr>
      <w:rFonts w:cs="OpenSymbol"/>
    </w:rPr>
  </w:style>
  <w:style w:type="character" w:styleId="ListLabel1234" w:customStyle="1">
    <w:name w:val="ListLabel 1234"/>
    <w:qFormat/>
    <w:rPr>
      <w:rFonts w:cs="OpenSymbol"/>
    </w:rPr>
  </w:style>
  <w:style w:type="character" w:styleId="ListLabel1235" w:customStyle="1">
    <w:name w:val="ListLabel 1235"/>
    <w:qFormat/>
    <w:rPr>
      <w:rFonts w:cs="OpenSymbol"/>
    </w:rPr>
  </w:style>
  <w:style w:type="character" w:styleId="ListLabel1236" w:customStyle="1">
    <w:name w:val="ListLabel 1236"/>
    <w:qFormat/>
    <w:rPr>
      <w:rFonts w:cs="OpenSymbol"/>
    </w:rPr>
  </w:style>
  <w:style w:type="character" w:styleId="ListLabel1237" w:customStyle="1">
    <w:name w:val="ListLabel 1237"/>
    <w:qFormat/>
    <w:rPr>
      <w:rFonts w:cs="OpenSymbol"/>
    </w:rPr>
  </w:style>
  <w:style w:type="character" w:styleId="ListLabel1238" w:customStyle="1">
    <w:name w:val="ListLabel 1238"/>
    <w:qFormat/>
    <w:rPr>
      <w:rFonts w:cs="OpenSymbol"/>
    </w:rPr>
  </w:style>
  <w:style w:type="character" w:styleId="ListLabel1239" w:customStyle="1">
    <w:name w:val="ListLabel 1239"/>
    <w:qFormat/>
    <w:rPr>
      <w:rFonts w:cs="OpenSymbol"/>
    </w:rPr>
  </w:style>
  <w:style w:type="character" w:styleId="ListLabel1240" w:customStyle="1">
    <w:name w:val="ListLabel 1240"/>
    <w:qFormat/>
    <w:rPr>
      <w:rFonts w:cs="OpenSymbol"/>
    </w:rPr>
  </w:style>
  <w:style w:type="character" w:styleId="ListLabel1241" w:customStyle="1">
    <w:name w:val="ListLabel 1241"/>
    <w:qFormat/>
    <w:rPr>
      <w:rFonts w:cs="OpenSymbol"/>
    </w:rPr>
  </w:style>
  <w:style w:type="character" w:styleId="ListLabel1242" w:customStyle="1">
    <w:name w:val="ListLabel 1242"/>
    <w:qFormat/>
    <w:rPr>
      <w:rFonts w:cs="OpenSymbol"/>
    </w:rPr>
  </w:style>
  <w:style w:type="character" w:styleId="ListLabel1243" w:customStyle="1">
    <w:name w:val="ListLabel 1243"/>
    <w:qFormat/>
    <w:rPr>
      <w:rFonts w:cs="OpenSymbol"/>
    </w:rPr>
  </w:style>
  <w:style w:type="character" w:styleId="ListLabel1244" w:customStyle="1">
    <w:name w:val="ListLabel 1244"/>
    <w:qFormat/>
    <w:rPr>
      <w:rFonts w:cs="OpenSymbol"/>
    </w:rPr>
  </w:style>
  <w:style w:type="character" w:styleId="ListLabel1245" w:customStyle="1">
    <w:name w:val="ListLabel 1245"/>
    <w:qFormat/>
    <w:rPr>
      <w:rFonts w:cs="OpenSymbol"/>
    </w:rPr>
  </w:style>
  <w:style w:type="character" w:styleId="ListLabel1246" w:customStyle="1">
    <w:name w:val="ListLabel 1246"/>
    <w:qFormat/>
    <w:rPr>
      <w:rFonts w:cs="OpenSymbol"/>
    </w:rPr>
  </w:style>
  <w:style w:type="character" w:styleId="ListLabel1247" w:customStyle="1">
    <w:name w:val="ListLabel 1247"/>
    <w:qFormat/>
    <w:rPr>
      <w:rFonts w:cs="OpenSymbol"/>
    </w:rPr>
  </w:style>
  <w:style w:type="character" w:styleId="ListLabel1248" w:customStyle="1">
    <w:name w:val="ListLabel 1248"/>
    <w:qFormat/>
    <w:rPr>
      <w:rFonts w:cs="OpenSymbol"/>
    </w:rPr>
  </w:style>
  <w:style w:type="character" w:styleId="ListLabel1249" w:customStyle="1">
    <w:name w:val="ListLabel 1249"/>
    <w:qFormat/>
    <w:rPr>
      <w:rFonts w:cs="OpenSymbol"/>
    </w:rPr>
  </w:style>
  <w:style w:type="character" w:styleId="ListLabel1250" w:customStyle="1">
    <w:name w:val="ListLabel 1250"/>
    <w:qFormat/>
    <w:rPr>
      <w:rFonts w:cs="OpenSymbol"/>
    </w:rPr>
  </w:style>
  <w:style w:type="character" w:styleId="ListLabel1251" w:customStyle="1">
    <w:name w:val="ListLabel 1251"/>
    <w:qFormat/>
    <w:rPr>
      <w:rFonts w:cs="OpenSymbol"/>
    </w:rPr>
  </w:style>
  <w:style w:type="character" w:styleId="ListLabel1252" w:customStyle="1">
    <w:name w:val="ListLabel 1252"/>
    <w:qFormat/>
    <w:rPr>
      <w:rFonts w:cs="OpenSymbol"/>
    </w:rPr>
  </w:style>
  <w:style w:type="character" w:styleId="ListLabel1253" w:customStyle="1">
    <w:name w:val="ListLabel 1253"/>
    <w:qFormat/>
    <w:rPr>
      <w:rFonts w:cs="OpenSymbol"/>
    </w:rPr>
  </w:style>
  <w:style w:type="character" w:styleId="ListLabel1254" w:customStyle="1">
    <w:name w:val="ListLabel 1254"/>
    <w:qFormat/>
    <w:rPr>
      <w:rFonts w:cs="OpenSymbol"/>
    </w:rPr>
  </w:style>
  <w:style w:type="character" w:styleId="ListLabel1255" w:customStyle="1">
    <w:name w:val="ListLabel 1255"/>
    <w:qFormat/>
    <w:rPr>
      <w:rFonts w:cs="OpenSymbol"/>
    </w:rPr>
  </w:style>
  <w:style w:type="character" w:styleId="ListLabel1256" w:customStyle="1">
    <w:name w:val="ListLabel 1256"/>
    <w:qFormat/>
    <w:rPr>
      <w:rFonts w:cs="OpenSymbol"/>
    </w:rPr>
  </w:style>
  <w:style w:type="character" w:styleId="ListLabel1257" w:customStyle="1">
    <w:name w:val="ListLabel 1257"/>
    <w:qFormat/>
    <w:rPr>
      <w:rFonts w:cs="OpenSymbol"/>
    </w:rPr>
  </w:style>
  <w:style w:type="character" w:styleId="ListLabel1258" w:customStyle="1">
    <w:name w:val="ListLabel 1258"/>
    <w:qFormat/>
    <w:rPr>
      <w:rFonts w:cs="OpenSymbol"/>
    </w:rPr>
  </w:style>
  <w:style w:type="character" w:styleId="ListLabel1259" w:customStyle="1">
    <w:name w:val="ListLabel 1259"/>
    <w:qFormat/>
    <w:rPr>
      <w:rFonts w:cs="OpenSymbol"/>
    </w:rPr>
  </w:style>
  <w:style w:type="character" w:styleId="ListLabel1260" w:customStyle="1">
    <w:name w:val="ListLabel 1260"/>
    <w:qFormat/>
    <w:rPr>
      <w:rFonts w:cs="OpenSymbol"/>
    </w:rPr>
  </w:style>
  <w:style w:type="character" w:styleId="ListLabel1261" w:customStyle="1">
    <w:name w:val="ListLabel 1261"/>
    <w:qFormat/>
    <w:rPr>
      <w:rFonts w:cs="OpenSymbol"/>
    </w:rPr>
  </w:style>
  <w:style w:type="character" w:styleId="ListLabel1262" w:customStyle="1">
    <w:name w:val="ListLabel 1262"/>
    <w:qFormat/>
    <w:rPr>
      <w:rFonts w:cs="OpenSymbol"/>
    </w:rPr>
  </w:style>
  <w:style w:type="character" w:styleId="ListLabel1263" w:customStyle="1">
    <w:name w:val="ListLabel 1263"/>
    <w:qFormat/>
    <w:rPr>
      <w:rFonts w:cs="OpenSymbol"/>
    </w:rPr>
  </w:style>
  <w:style w:type="character" w:styleId="ListLabel1264" w:customStyle="1">
    <w:name w:val="ListLabel 1264"/>
    <w:qFormat/>
    <w:rPr>
      <w:rFonts w:cs="OpenSymbol"/>
    </w:rPr>
  </w:style>
  <w:style w:type="character" w:styleId="ListLabel1265" w:customStyle="1">
    <w:name w:val="ListLabel 1265"/>
    <w:qFormat/>
    <w:rPr>
      <w:rFonts w:cs="OpenSymbol"/>
    </w:rPr>
  </w:style>
  <w:style w:type="character" w:styleId="ListLabel1266" w:customStyle="1">
    <w:name w:val="ListLabel 1266"/>
    <w:qFormat/>
    <w:rPr>
      <w:rFonts w:cs="OpenSymbol"/>
    </w:rPr>
  </w:style>
  <w:style w:type="character" w:styleId="ListLabel1267" w:customStyle="1">
    <w:name w:val="ListLabel 1267"/>
    <w:qFormat/>
    <w:rPr>
      <w:rFonts w:cs="OpenSymbol"/>
    </w:rPr>
  </w:style>
  <w:style w:type="character" w:styleId="ListLabel1268" w:customStyle="1">
    <w:name w:val="ListLabel 1268"/>
    <w:qFormat/>
    <w:rPr>
      <w:rFonts w:cs="OpenSymbol"/>
    </w:rPr>
  </w:style>
  <w:style w:type="character" w:styleId="ListLabel1269" w:customStyle="1">
    <w:name w:val="ListLabel 1269"/>
    <w:qFormat/>
    <w:rPr>
      <w:rFonts w:cs="OpenSymbol"/>
    </w:rPr>
  </w:style>
  <w:style w:type="character" w:styleId="ListLabel1270" w:customStyle="1">
    <w:name w:val="ListLabel 1270"/>
    <w:qFormat/>
    <w:rPr>
      <w:rFonts w:cs="OpenSymbol"/>
    </w:rPr>
  </w:style>
  <w:style w:type="character" w:styleId="ListLabel1271" w:customStyle="1">
    <w:name w:val="ListLabel 1271"/>
    <w:qFormat/>
    <w:rPr>
      <w:rFonts w:cs="OpenSymbol"/>
    </w:rPr>
  </w:style>
  <w:style w:type="character" w:styleId="ListLabel1272" w:customStyle="1">
    <w:name w:val="ListLabel 1272"/>
    <w:qFormat/>
    <w:rPr>
      <w:rFonts w:cs="OpenSymbol"/>
    </w:rPr>
  </w:style>
  <w:style w:type="character" w:styleId="ListLabel1273" w:customStyle="1">
    <w:name w:val="ListLabel 1273"/>
    <w:qFormat/>
    <w:rPr>
      <w:rFonts w:cs="OpenSymbol"/>
    </w:rPr>
  </w:style>
  <w:style w:type="character" w:styleId="ListLabel1274" w:customStyle="1">
    <w:name w:val="ListLabel 1274"/>
    <w:qFormat/>
    <w:rPr>
      <w:rFonts w:cs="OpenSymbol"/>
    </w:rPr>
  </w:style>
  <w:style w:type="character" w:styleId="ListLabel1275" w:customStyle="1">
    <w:name w:val="ListLabel 1275"/>
    <w:qFormat/>
    <w:rPr>
      <w:rFonts w:cs="OpenSymbol"/>
    </w:rPr>
  </w:style>
  <w:style w:type="character" w:styleId="ListLabel1276" w:customStyle="1">
    <w:name w:val="ListLabel 1276"/>
    <w:qFormat/>
    <w:rPr>
      <w:rFonts w:cs="OpenSymbol"/>
    </w:rPr>
  </w:style>
  <w:style w:type="character" w:styleId="ListLabel1277" w:customStyle="1">
    <w:name w:val="ListLabel 1277"/>
    <w:qFormat/>
    <w:rPr>
      <w:rFonts w:cs="OpenSymbol"/>
    </w:rPr>
  </w:style>
  <w:style w:type="character" w:styleId="ListLabel1278" w:customStyle="1">
    <w:name w:val="ListLabel 1278"/>
    <w:qFormat/>
    <w:rPr>
      <w:rFonts w:cs="OpenSymbol"/>
    </w:rPr>
  </w:style>
  <w:style w:type="character" w:styleId="ListLabel1279" w:customStyle="1">
    <w:name w:val="ListLabel 1279"/>
    <w:qFormat/>
    <w:rPr>
      <w:rFonts w:cs="OpenSymbol"/>
    </w:rPr>
  </w:style>
  <w:style w:type="character" w:styleId="ListLabel1280" w:customStyle="1">
    <w:name w:val="ListLabel 1280"/>
    <w:qFormat/>
    <w:rPr>
      <w:rFonts w:cs="OpenSymbol"/>
    </w:rPr>
  </w:style>
  <w:style w:type="character" w:styleId="ListLabel1281" w:customStyle="1">
    <w:name w:val="ListLabel 1281"/>
    <w:qFormat/>
    <w:rPr>
      <w:rFonts w:cs="OpenSymbol"/>
    </w:rPr>
  </w:style>
  <w:style w:type="character" w:styleId="ListLabel1282" w:customStyle="1">
    <w:name w:val="ListLabel 1282"/>
    <w:qFormat/>
    <w:rPr>
      <w:rFonts w:cs="OpenSymbol"/>
    </w:rPr>
  </w:style>
  <w:style w:type="character" w:styleId="ListLabel1283" w:customStyle="1">
    <w:name w:val="ListLabel 1283"/>
    <w:qFormat/>
    <w:rPr>
      <w:rFonts w:cs="OpenSymbol"/>
    </w:rPr>
  </w:style>
  <w:style w:type="character" w:styleId="ListLabel1284" w:customStyle="1">
    <w:name w:val="ListLabel 1284"/>
    <w:qFormat/>
    <w:rPr>
      <w:rFonts w:cs="OpenSymbol"/>
    </w:rPr>
  </w:style>
  <w:style w:type="character" w:styleId="ListLabel1285" w:customStyle="1">
    <w:name w:val="ListLabel 1285"/>
    <w:qFormat/>
    <w:rPr>
      <w:rFonts w:cs="OpenSymbol"/>
    </w:rPr>
  </w:style>
  <w:style w:type="character" w:styleId="ListLabel1286" w:customStyle="1">
    <w:name w:val="ListLabel 1286"/>
    <w:qFormat/>
    <w:rPr>
      <w:rFonts w:cs="OpenSymbol"/>
    </w:rPr>
  </w:style>
  <w:style w:type="character" w:styleId="ListLabel1287" w:customStyle="1">
    <w:name w:val="ListLabel 1287"/>
    <w:qFormat/>
    <w:rPr>
      <w:szCs w:val="20"/>
    </w:rPr>
  </w:style>
  <w:style w:type="character" w:styleId="ListLabel1288" w:customStyle="1">
    <w:name w:val="ListLabel 1288"/>
    <w:qFormat/>
    <w:rPr>
      <w:szCs w:val="20"/>
      <w:u w:val="none"/>
    </w:rPr>
  </w:style>
  <w:style w:type="character" w:styleId="ListLabel1289" w:customStyle="1">
    <w:name w:val="ListLabel 1289"/>
    <w:qFormat/>
    <w:rPr/>
  </w:style>
  <w:style w:type="character" w:styleId="ListLabel1290" w:customStyle="1">
    <w:name w:val="ListLabel 1290"/>
    <w:qFormat/>
    <w:rPr>
      <w:sz w:val="20"/>
      <w:szCs w:val="20"/>
      <w:u w:val="none"/>
    </w:rPr>
  </w:style>
  <w:style w:type="character" w:styleId="ListLabel1291" w:customStyle="1">
    <w:name w:val="ListLabel 1291"/>
    <w:qFormat/>
    <w:rPr/>
  </w:style>
  <w:style w:type="character" w:styleId="ListLabel1292" w:customStyle="1">
    <w:name w:val="ListLabel 1292"/>
    <w:qFormat/>
    <w:rPr/>
  </w:style>
  <w:style w:type="character" w:styleId="ListLabel1293" w:customStyle="1">
    <w:name w:val="ListLabel 1293"/>
    <w:qFormat/>
    <w:rPr>
      <w:rFonts w:cs="OpenSymbol"/>
      <w:sz w:val="20"/>
    </w:rPr>
  </w:style>
  <w:style w:type="character" w:styleId="ListLabel1294" w:customStyle="1">
    <w:name w:val="ListLabel 1294"/>
    <w:qFormat/>
    <w:rPr>
      <w:rFonts w:cs="OpenSymbol;Arial Unicode MS"/>
      <w:lang w:val="nl-NL"/>
    </w:rPr>
  </w:style>
  <w:style w:type="character" w:styleId="ListLabel1295" w:customStyle="1">
    <w:name w:val="ListLabel 1295"/>
    <w:qFormat/>
    <w:rPr>
      <w:rFonts w:cs="OpenSymbol;Arial Unicode MS"/>
      <w:lang w:val="nl-NL"/>
    </w:rPr>
  </w:style>
  <w:style w:type="character" w:styleId="ListLabel1296" w:customStyle="1">
    <w:name w:val="ListLabel 1296"/>
    <w:qFormat/>
    <w:rPr>
      <w:rFonts w:cs="OpenSymbol;Arial Unicode MS"/>
      <w:lang w:val="nl-NL"/>
    </w:rPr>
  </w:style>
  <w:style w:type="character" w:styleId="ListLabel1297" w:customStyle="1">
    <w:name w:val="ListLabel 1297"/>
    <w:qFormat/>
    <w:rPr>
      <w:rFonts w:cs="OpenSymbol;Arial Unicode MS"/>
      <w:lang w:val="nl-NL"/>
    </w:rPr>
  </w:style>
  <w:style w:type="character" w:styleId="ListLabel1298" w:customStyle="1">
    <w:name w:val="ListLabel 1298"/>
    <w:qFormat/>
    <w:rPr>
      <w:rFonts w:cs="OpenSymbol;Arial Unicode MS"/>
      <w:lang w:val="nl-NL"/>
    </w:rPr>
  </w:style>
  <w:style w:type="character" w:styleId="ListLabel1299" w:customStyle="1">
    <w:name w:val="ListLabel 1299"/>
    <w:qFormat/>
    <w:rPr>
      <w:rFonts w:cs="OpenSymbol;Arial Unicode MS"/>
      <w:lang w:val="nl-NL"/>
    </w:rPr>
  </w:style>
  <w:style w:type="character" w:styleId="ListLabel1300" w:customStyle="1">
    <w:name w:val="ListLabel 1300"/>
    <w:qFormat/>
    <w:rPr>
      <w:rFonts w:cs="OpenSymbol;Arial Unicode MS"/>
      <w:lang w:val="nl-NL"/>
    </w:rPr>
  </w:style>
  <w:style w:type="character" w:styleId="ListLabel1301" w:customStyle="1">
    <w:name w:val="ListLabel 1301"/>
    <w:qFormat/>
    <w:rPr>
      <w:rFonts w:cs="OpenSymbol;Arial Unicode MS"/>
      <w:lang w:val="nl-NL"/>
    </w:rPr>
  </w:style>
  <w:style w:type="character" w:styleId="ListLabel1302" w:customStyle="1">
    <w:name w:val="ListLabel 1302"/>
    <w:qFormat/>
    <w:rPr>
      <w:rFonts w:cs="OpenSymbol"/>
      <w:sz w:val="20"/>
    </w:rPr>
  </w:style>
  <w:style w:type="character" w:styleId="ListLabel1303" w:customStyle="1">
    <w:name w:val="ListLabel 1303"/>
    <w:qFormat/>
    <w:rPr>
      <w:rFonts w:cs="OpenSymbol"/>
    </w:rPr>
  </w:style>
  <w:style w:type="character" w:styleId="ListLabel1304" w:customStyle="1">
    <w:name w:val="ListLabel 1304"/>
    <w:qFormat/>
    <w:rPr>
      <w:rFonts w:cs="OpenSymbol"/>
    </w:rPr>
  </w:style>
  <w:style w:type="character" w:styleId="ListLabel1305" w:customStyle="1">
    <w:name w:val="ListLabel 1305"/>
    <w:qFormat/>
    <w:rPr>
      <w:rFonts w:cs="OpenSymbol"/>
    </w:rPr>
  </w:style>
  <w:style w:type="character" w:styleId="ListLabel1306" w:customStyle="1">
    <w:name w:val="ListLabel 1306"/>
    <w:qFormat/>
    <w:rPr>
      <w:rFonts w:cs="OpenSymbol"/>
    </w:rPr>
  </w:style>
  <w:style w:type="character" w:styleId="ListLabel1307" w:customStyle="1">
    <w:name w:val="ListLabel 1307"/>
    <w:qFormat/>
    <w:rPr>
      <w:rFonts w:cs="OpenSymbol"/>
    </w:rPr>
  </w:style>
  <w:style w:type="character" w:styleId="ListLabel1308" w:customStyle="1">
    <w:name w:val="ListLabel 1308"/>
    <w:qFormat/>
    <w:rPr>
      <w:rFonts w:cs="OpenSymbol"/>
    </w:rPr>
  </w:style>
  <w:style w:type="character" w:styleId="ListLabel1309" w:customStyle="1">
    <w:name w:val="ListLabel 1309"/>
    <w:qFormat/>
    <w:rPr>
      <w:rFonts w:cs="OpenSymbol"/>
    </w:rPr>
  </w:style>
  <w:style w:type="character" w:styleId="ListLabel1310" w:customStyle="1">
    <w:name w:val="ListLabel 1310"/>
    <w:qFormat/>
    <w:rPr>
      <w:rFonts w:cs="OpenSymbol"/>
    </w:rPr>
  </w:style>
  <w:style w:type="character" w:styleId="ListLabel1311" w:customStyle="1">
    <w:name w:val="ListLabel 1311"/>
    <w:qFormat/>
    <w:rPr>
      <w:rFonts w:cs="OpenSymbol"/>
      <w:sz w:val="20"/>
    </w:rPr>
  </w:style>
  <w:style w:type="character" w:styleId="ListLabel1312" w:customStyle="1">
    <w:name w:val="ListLabel 1312"/>
    <w:qFormat/>
    <w:rPr>
      <w:rFonts w:cs="OpenSymbol"/>
    </w:rPr>
  </w:style>
  <w:style w:type="character" w:styleId="ListLabel1313" w:customStyle="1">
    <w:name w:val="ListLabel 1313"/>
    <w:qFormat/>
    <w:rPr>
      <w:rFonts w:cs="OpenSymbol"/>
    </w:rPr>
  </w:style>
  <w:style w:type="character" w:styleId="ListLabel1314" w:customStyle="1">
    <w:name w:val="ListLabel 1314"/>
    <w:qFormat/>
    <w:rPr>
      <w:rFonts w:cs="OpenSymbol"/>
    </w:rPr>
  </w:style>
  <w:style w:type="character" w:styleId="ListLabel1315" w:customStyle="1">
    <w:name w:val="ListLabel 1315"/>
    <w:qFormat/>
    <w:rPr>
      <w:rFonts w:cs="OpenSymbol"/>
    </w:rPr>
  </w:style>
  <w:style w:type="character" w:styleId="ListLabel1316" w:customStyle="1">
    <w:name w:val="ListLabel 1316"/>
    <w:qFormat/>
    <w:rPr>
      <w:rFonts w:cs="OpenSymbol"/>
    </w:rPr>
  </w:style>
  <w:style w:type="character" w:styleId="ListLabel1317" w:customStyle="1">
    <w:name w:val="ListLabel 1317"/>
    <w:qFormat/>
    <w:rPr>
      <w:rFonts w:cs="OpenSymbol"/>
    </w:rPr>
  </w:style>
  <w:style w:type="character" w:styleId="ListLabel1318" w:customStyle="1">
    <w:name w:val="ListLabel 1318"/>
    <w:qFormat/>
    <w:rPr>
      <w:rFonts w:cs="OpenSymbol"/>
    </w:rPr>
  </w:style>
  <w:style w:type="character" w:styleId="ListLabel1319" w:customStyle="1">
    <w:name w:val="ListLabel 1319"/>
    <w:qFormat/>
    <w:rPr>
      <w:rFonts w:cs="OpenSymbol"/>
    </w:rPr>
  </w:style>
  <w:style w:type="character" w:styleId="ListLabel1320" w:customStyle="1">
    <w:name w:val="ListLabel 1320"/>
    <w:qFormat/>
    <w:rPr>
      <w:rFonts w:cs="OpenSymbol"/>
      <w:sz w:val="20"/>
    </w:rPr>
  </w:style>
  <w:style w:type="character" w:styleId="ListLabel1321" w:customStyle="1">
    <w:name w:val="ListLabel 1321"/>
    <w:qFormat/>
    <w:rPr>
      <w:rFonts w:cs="OpenSymbol"/>
    </w:rPr>
  </w:style>
  <w:style w:type="character" w:styleId="ListLabel1322" w:customStyle="1">
    <w:name w:val="ListLabel 1322"/>
    <w:qFormat/>
    <w:rPr>
      <w:rFonts w:cs="OpenSymbol"/>
    </w:rPr>
  </w:style>
  <w:style w:type="character" w:styleId="ListLabel1323" w:customStyle="1">
    <w:name w:val="ListLabel 1323"/>
    <w:qFormat/>
    <w:rPr>
      <w:rFonts w:cs="OpenSymbol"/>
    </w:rPr>
  </w:style>
  <w:style w:type="character" w:styleId="ListLabel1324" w:customStyle="1">
    <w:name w:val="ListLabel 1324"/>
    <w:qFormat/>
    <w:rPr>
      <w:rFonts w:cs="OpenSymbol"/>
    </w:rPr>
  </w:style>
  <w:style w:type="character" w:styleId="ListLabel1325" w:customStyle="1">
    <w:name w:val="ListLabel 1325"/>
    <w:qFormat/>
    <w:rPr>
      <w:rFonts w:cs="OpenSymbol"/>
    </w:rPr>
  </w:style>
  <w:style w:type="character" w:styleId="ListLabel1326" w:customStyle="1">
    <w:name w:val="ListLabel 1326"/>
    <w:qFormat/>
    <w:rPr>
      <w:rFonts w:cs="OpenSymbol"/>
    </w:rPr>
  </w:style>
  <w:style w:type="character" w:styleId="ListLabel1327" w:customStyle="1">
    <w:name w:val="ListLabel 1327"/>
    <w:qFormat/>
    <w:rPr>
      <w:rFonts w:cs="OpenSymbol"/>
    </w:rPr>
  </w:style>
  <w:style w:type="character" w:styleId="ListLabel1328" w:customStyle="1">
    <w:name w:val="ListLabel 1328"/>
    <w:qFormat/>
    <w:rPr>
      <w:rFonts w:cs="OpenSymbol"/>
    </w:rPr>
  </w:style>
  <w:style w:type="character" w:styleId="ListLabel1329" w:customStyle="1">
    <w:name w:val="ListLabel 1329"/>
    <w:qFormat/>
    <w:rPr>
      <w:rFonts w:cs="OpenSymbol"/>
      <w:sz w:val="20"/>
    </w:rPr>
  </w:style>
  <w:style w:type="character" w:styleId="ListLabel1330" w:customStyle="1">
    <w:name w:val="ListLabel 1330"/>
    <w:qFormat/>
    <w:rPr>
      <w:rFonts w:cs="OpenSymbol"/>
    </w:rPr>
  </w:style>
  <w:style w:type="character" w:styleId="ListLabel1331" w:customStyle="1">
    <w:name w:val="ListLabel 1331"/>
    <w:qFormat/>
    <w:rPr>
      <w:rFonts w:cs="OpenSymbol"/>
    </w:rPr>
  </w:style>
  <w:style w:type="character" w:styleId="ListLabel1332" w:customStyle="1">
    <w:name w:val="ListLabel 1332"/>
    <w:qFormat/>
    <w:rPr>
      <w:rFonts w:cs="OpenSymbol"/>
    </w:rPr>
  </w:style>
  <w:style w:type="character" w:styleId="ListLabel1333" w:customStyle="1">
    <w:name w:val="ListLabel 1333"/>
    <w:qFormat/>
    <w:rPr>
      <w:rFonts w:cs="OpenSymbol"/>
    </w:rPr>
  </w:style>
  <w:style w:type="character" w:styleId="ListLabel1334" w:customStyle="1">
    <w:name w:val="ListLabel 1334"/>
    <w:qFormat/>
    <w:rPr>
      <w:rFonts w:cs="OpenSymbol"/>
    </w:rPr>
  </w:style>
  <w:style w:type="character" w:styleId="ListLabel1335" w:customStyle="1">
    <w:name w:val="ListLabel 1335"/>
    <w:qFormat/>
    <w:rPr>
      <w:rFonts w:cs="OpenSymbol"/>
    </w:rPr>
  </w:style>
  <w:style w:type="character" w:styleId="ListLabel1336" w:customStyle="1">
    <w:name w:val="ListLabel 1336"/>
    <w:qFormat/>
    <w:rPr>
      <w:rFonts w:cs="OpenSymbol"/>
    </w:rPr>
  </w:style>
  <w:style w:type="character" w:styleId="ListLabel1337" w:customStyle="1">
    <w:name w:val="ListLabel 1337"/>
    <w:qFormat/>
    <w:rPr>
      <w:rFonts w:cs="OpenSymbol"/>
    </w:rPr>
  </w:style>
  <w:style w:type="character" w:styleId="ListLabel1338" w:customStyle="1">
    <w:name w:val="ListLabel 1338"/>
    <w:qFormat/>
    <w:rPr>
      <w:rFonts w:cs="OpenSymbol"/>
      <w:sz w:val="20"/>
    </w:rPr>
  </w:style>
  <w:style w:type="character" w:styleId="ListLabel1339" w:customStyle="1">
    <w:name w:val="ListLabel 1339"/>
    <w:qFormat/>
    <w:rPr>
      <w:rFonts w:cs="OpenSymbol"/>
    </w:rPr>
  </w:style>
  <w:style w:type="character" w:styleId="ListLabel1340" w:customStyle="1">
    <w:name w:val="ListLabel 1340"/>
    <w:qFormat/>
    <w:rPr>
      <w:rFonts w:cs="OpenSymbol"/>
    </w:rPr>
  </w:style>
  <w:style w:type="character" w:styleId="ListLabel1341" w:customStyle="1">
    <w:name w:val="ListLabel 1341"/>
    <w:qFormat/>
    <w:rPr>
      <w:rFonts w:cs="OpenSymbol"/>
    </w:rPr>
  </w:style>
  <w:style w:type="character" w:styleId="ListLabel1342" w:customStyle="1">
    <w:name w:val="ListLabel 1342"/>
    <w:qFormat/>
    <w:rPr>
      <w:rFonts w:cs="OpenSymbol"/>
    </w:rPr>
  </w:style>
  <w:style w:type="character" w:styleId="ListLabel1343" w:customStyle="1">
    <w:name w:val="ListLabel 1343"/>
    <w:qFormat/>
    <w:rPr>
      <w:rFonts w:cs="OpenSymbol"/>
    </w:rPr>
  </w:style>
  <w:style w:type="character" w:styleId="ListLabel1344" w:customStyle="1">
    <w:name w:val="ListLabel 1344"/>
    <w:qFormat/>
    <w:rPr>
      <w:rFonts w:cs="OpenSymbol"/>
    </w:rPr>
  </w:style>
  <w:style w:type="character" w:styleId="ListLabel1345" w:customStyle="1">
    <w:name w:val="ListLabel 1345"/>
    <w:qFormat/>
    <w:rPr>
      <w:rFonts w:cs="OpenSymbol"/>
    </w:rPr>
  </w:style>
  <w:style w:type="character" w:styleId="ListLabel1346" w:customStyle="1">
    <w:name w:val="ListLabel 1346"/>
    <w:qFormat/>
    <w:rPr>
      <w:rFonts w:cs="OpenSymbol"/>
    </w:rPr>
  </w:style>
  <w:style w:type="character" w:styleId="ListLabel1347" w:customStyle="1">
    <w:name w:val="ListLabel 1347"/>
    <w:qFormat/>
    <w:rPr>
      <w:rFonts w:cs="OpenSymbol"/>
      <w:sz w:val="20"/>
    </w:rPr>
  </w:style>
  <w:style w:type="character" w:styleId="ListLabel1348" w:customStyle="1">
    <w:name w:val="ListLabel 1348"/>
    <w:qFormat/>
    <w:rPr>
      <w:rFonts w:cs="OpenSymbol"/>
    </w:rPr>
  </w:style>
  <w:style w:type="character" w:styleId="ListLabel1349" w:customStyle="1">
    <w:name w:val="ListLabel 1349"/>
    <w:qFormat/>
    <w:rPr>
      <w:rFonts w:cs="OpenSymbol"/>
    </w:rPr>
  </w:style>
  <w:style w:type="character" w:styleId="ListLabel1350" w:customStyle="1">
    <w:name w:val="ListLabel 1350"/>
    <w:qFormat/>
    <w:rPr>
      <w:rFonts w:cs="OpenSymbol"/>
    </w:rPr>
  </w:style>
  <w:style w:type="character" w:styleId="ListLabel1351" w:customStyle="1">
    <w:name w:val="ListLabel 1351"/>
    <w:qFormat/>
    <w:rPr>
      <w:rFonts w:cs="OpenSymbol"/>
    </w:rPr>
  </w:style>
  <w:style w:type="character" w:styleId="ListLabel1352" w:customStyle="1">
    <w:name w:val="ListLabel 1352"/>
    <w:qFormat/>
    <w:rPr>
      <w:rFonts w:cs="OpenSymbol"/>
    </w:rPr>
  </w:style>
  <w:style w:type="character" w:styleId="ListLabel1353" w:customStyle="1">
    <w:name w:val="ListLabel 1353"/>
    <w:qFormat/>
    <w:rPr>
      <w:rFonts w:cs="OpenSymbol"/>
    </w:rPr>
  </w:style>
  <w:style w:type="character" w:styleId="ListLabel1354" w:customStyle="1">
    <w:name w:val="ListLabel 1354"/>
    <w:qFormat/>
    <w:rPr>
      <w:rFonts w:cs="OpenSymbol"/>
    </w:rPr>
  </w:style>
  <w:style w:type="character" w:styleId="ListLabel1355" w:customStyle="1">
    <w:name w:val="ListLabel 1355"/>
    <w:qFormat/>
    <w:rPr>
      <w:rFonts w:cs="OpenSymbol"/>
    </w:rPr>
  </w:style>
  <w:style w:type="character" w:styleId="ListLabel1356" w:customStyle="1">
    <w:name w:val="ListLabel 1356"/>
    <w:qFormat/>
    <w:rPr>
      <w:rFonts w:cs="Times New Roman"/>
      <w:sz w:val="20"/>
    </w:rPr>
  </w:style>
  <w:style w:type="character" w:styleId="ListLabel1357" w:customStyle="1">
    <w:name w:val="ListLabel 1357"/>
    <w:qFormat/>
    <w:rPr>
      <w:rFonts w:cs="Courier New"/>
    </w:rPr>
  </w:style>
  <w:style w:type="character" w:styleId="ListLabel1358" w:customStyle="1">
    <w:name w:val="ListLabel 1358"/>
    <w:qFormat/>
    <w:rPr>
      <w:rFonts w:cs="Wingdings"/>
    </w:rPr>
  </w:style>
  <w:style w:type="character" w:styleId="ListLabel1359" w:customStyle="1">
    <w:name w:val="ListLabel 1359"/>
    <w:qFormat/>
    <w:rPr>
      <w:rFonts w:cs="Symbol"/>
    </w:rPr>
  </w:style>
  <w:style w:type="character" w:styleId="ListLabel1360" w:customStyle="1">
    <w:name w:val="ListLabel 1360"/>
    <w:qFormat/>
    <w:rPr>
      <w:rFonts w:cs="Courier New"/>
    </w:rPr>
  </w:style>
  <w:style w:type="character" w:styleId="ListLabel1361" w:customStyle="1">
    <w:name w:val="ListLabel 1361"/>
    <w:qFormat/>
    <w:rPr>
      <w:rFonts w:cs="Wingdings"/>
    </w:rPr>
  </w:style>
  <w:style w:type="character" w:styleId="ListLabel1362" w:customStyle="1">
    <w:name w:val="ListLabel 1362"/>
    <w:qFormat/>
    <w:rPr>
      <w:rFonts w:cs="Symbol"/>
    </w:rPr>
  </w:style>
  <w:style w:type="character" w:styleId="ListLabel1363" w:customStyle="1">
    <w:name w:val="ListLabel 1363"/>
    <w:qFormat/>
    <w:rPr>
      <w:rFonts w:cs="Courier New"/>
    </w:rPr>
  </w:style>
  <w:style w:type="character" w:styleId="ListLabel1364" w:customStyle="1">
    <w:name w:val="ListLabel 1364"/>
    <w:qFormat/>
    <w:rPr>
      <w:rFonts w:cs="Wingdings"/>
    </w:rPr>
  </w:style>
  <w:style w:type="character" w:styleId="ListLabel1365" w:customStyle="1">
    <w:name w:val="ListLabel 1365"/>
    <w:qFormat/>
    <w:rPr>
      <w:rFonts w:cs="OpenSymbol"/>
      <w:sz w:val="20"/>
    </w:rPr>
  </w:style>
  <w:style w:type="character" w:styleId="ListLabel1366" w:customStyle="1">
    <w:name w:val="ListLabel 1366"/>
    <w:qFormat/>
    <w:rPr>
      <w:rFonts w:cs="Courier New"/>
    </w:rPr>
  </w:style>
  <w:style w:type="character" w:styleId="ListLabel1367" w:customStyle="1">
    <w:name w:val="ListLabel 1367"/>
    <w:qFormat/>
    <w:rPr>
      <w:rFonts w:cs="Wingdings"/>
    </w:rPr>
  </w:style>
  <w:style w:type="character" w:styleId="ListLabel1368" w:customStyle="1">
    <w:name w:val="ListLabel 1368"/>
    <w:qFormat/>
    <w:rPr>
      <w:rFonts w:cs="Symbol"/>
    </w:rPr>
  </w:style>
  <w:style w:type="character" w:styleId="ListLabel1369" w:customStyle="1">
    <w:name w:val="ListLabel 1369"/>
    <w:qFormat/>
    <w:rPr>
      <w:rFonts w:cs="Courier New"/>
    </w:rPr>
  </w:style>
  <w:style w:type="character" w:styleId="ListLabel1370" w:customStyle="1">
    <w:name w:val="ListLabel 1370"/>
    <w:qFormat/>
    <w:rPr>
      <w:rFonts w:cs="Wingdings"/>
    </w:rPr>
  </w:style>
  <w:style w:type="character" w:styleId="ListLabel1371" w:customStyle="1">
    <w:name w:val="ListLabel 1371"/>
    <w:qFormat/>
    <w:rPr>
      <w:rFonts w:cs="Symbol"/>
    </w:rPr>
  </w:style>
  <w:style w:type="character" w:styleId="ListLabel1372" w:customStyle="1">
    <w:name w:val="ListLabel 1372"/>
    <w:qFormat/>
    <w:rPr>
      <w:rFonts w:cs="Courier New"/>
    </w:rPr>
  </w:style>
  <w:style w:type="character" w:styleId="ListLabel1373" w:customStyle="1">
    <w:name w:val="ListLabel 1373"/>
    <w:qFormat/>
    <w:rPr>
      <w:rFonts w:cs="Wingdings"/>
    </w:rPr>
  </w:style>
  <w:style w:type="character" w:styleId="ListLabel1374" w:customStyle="1">
    <w:name w:val="ListLabel 1374"/>
    <w:qFormat/>
    <w:rPr>
      <w:rFonts w:cs="Times New Roman"/>
      <w:sz w:val="20"/>
    </w:rPr>
  </w:style>
  <w:style w:type="character" w:styleId="ListLabel1375" w:customStyle="1">
    <w:name w:val="ListLabel 1375"/>
    <w:qFormat/>
    <w:rPr>
      <w:rFonts w:cs="Courier New"/>
    </w:rPr>
  </w:style>
  <w:style w:type="character" w:styleId="ListLabel1376" w:customStyle="1">
    <w:name w:val="ListLabel 1376"/>
    <w:qFormat/>
    <w:rPr>
      <w:rFonts w:cs="Wingdings"/>
    </w:rPr>
  </w:style>
  <w:style w:type="character" w:styleId="ListLabel1377" w:customStyle="1">
    <w:name w:val="ListLabel 1377"/>
    <w:qFormat/>
    <w:rPr>
      <w:rFonts w:cs="Symbol"/>
    </w:rPr>
  </w:style>
  <w:style w:type="character" w:styleId="ListLabel1378" w:customStyle="1">
    <w:name w:val="ListLabel 1378"/>
    <w:qFormat/>
    <w:rPr>
      <w:rFonts w:cs="Courier New"/>
    </w:rPr>
  </w:style>
  <w:style w:type="character" w:styleId="ListLabel1379" w:customStyle="1">
    <w:name w:val="ListLabel 1379"/>
    <w:qFormat/>
    <w:rPr>
      <w:rFonts w:cs="Wingdings"/>
    </w:rPr>
  </w:style>
  <w:style w:type="character" w:styleId="ListLabel1380" w:customStyle="1">
    <w:name w:val="ListLabel 1380"/>
    <w:qFormat/>
    <w:rPr>
      <w:rFonts w:cs="Symbol"/>
    </w:rPr>
  </w:style>
  <w:style w:type="character" w:styleId="ListLabel1381" w:customStyle="1">
    <w:name w:val="ListLabel 1381"/>
    <w:qFormat/>
    <w:rPr>
      <w:rFonts w:cs="Courier New"/>
    </w:rPr>
  </w:style>
  <w:style w:type="character" w:styleId="ListLabel1382" w:customStyle="1">
    <w:name w:val="ListLabel 1382"/>
    <w:qFormat/>
    <w:rPr>
      <w:rFonts w:cs="Wingdings"/>
    </w:rPr>
  </w:style>
  <w:style w:type="character" w:styleId="ListLabel1383" w:customStyle="1">
    <w:name w:val="ListLabel 1383"/>
    <w:qFormat/>
    <w:rPr>
      <w:rFonts w:cs="Symbol"/>
    </w:rPr>
  </w:style>
  <w:style w:type="character" w:styleId="ListLabel1384" w:customStyle="1">
    <w:name w:val="ListLabel 1384"/>
    <w:qFormat/>
    <w:rPr>
      <w:rFonts w:cs="Times New Roman"/>
      <w:sz w:val="20"/>
    </w:rPr>
  </w:style>
  <w:style w:type="character" w:styleId="ListLabel1385" w:customStyle="1">
    <w:name w:val="ListLabel 1385"/>
    <w:qFormat/>
    <w:rPr>
      <w:rFonts w:cs="Times New Roman"/>
      <w:sz w:val="16"/>
    </w:rPr>
  </w:style>
  <w:style w:type="character" w:styleId="ListLabel1386" w:customStyle="1">
    <w:name w:val="ListLabel 1386"/>
    <w:qFormat/>
    <w:rPr>
      <w:rFonts w:cs="Courier New"/>
    </w:rPr>
  </w:style>
  <w:style w:type="character" w:styleId="ListLabel1387" w:customStyle="1">
    <w:name w:val="ListLabel 1387"/>
    <w:qFormat/>
    <w:rPr>
      <w:rFonts w:cs="Wingdings"/>
    </w:rPr>
  </w:style>
  <w:style w:type="character" w:styleId="ListLabel1388" w:customStyle="1">
    <w:name w:val="ListLabel 1388"/>
    <w:qFormat/>
    <w:rPr>
      <w:rFonts w:cs="Symbol"/>
    </w:rPr>
  </w:style>
  <w:style w:type="character" w:styleId="ListLabel1389" w:customStyle="1">
    <w:name w:val="ListLabel 1389"/>
    <w:qFormat/>
    <w:rPr>
      <w:rFonts w:cs="Courier New"/>
    </w:rPr>
  </w:style>
  <w:style w:type="character" w:styleId="ListLabel1390" w:customStyle="1">
    <w:name w:val="ListLabel 1390"/>
    <w:qFormat/>
    <w:rPr>
      <w:rFonts w:cs="Wingdings"/>
    </w:rPr>
  </w:style>
  <w:style w:type="character" w:styleId="ListLabel1391" w:customStyle="1">
    <w:name w:val="ListLabel 1391"/>
    <w:qFormat/>
    <w:rPr>
      <w:rFonts w:cs="Symbol"/>
    </w:rPr>
  </w:style>
  <w:style w:type="character" w:styleId="ListLabel1392" w:customStyle="1">
    <w:name w:val="ListLabel 1392"/>
    <w:qFormat/>
    <w:rPr>
      <w:rFonts w:cs="Courier New"/>
    </w:rPr>
  </w:style>
  <w:style w:type="character" w:styleId="ListLabel1393" w:customStyle="1">
    <w:name w:val="ListLabel 1393"/>
    <w:qFormat/>
    <w:rPr>
      <w:rFonts w:cs="Wingdings"/>
    </w:rPr>
  </w:style>
  <w:style w:type="character" w:styleId="ListLabel1394" w:customStyle="1">
    <w:name w:val="ListLabel 1394"/>
    <w:qFormat/>
    <w:rPr>
      <w:rFonts w:cs="Symbol"/>
      <w:sz w:val="20"/>
    </w:rPr>
  </w:style>
  <w:style w:type="character" w:styleId="ListLabel1395" w:customStyle="1">
    <w:name w:val="ListLabel 1395"/>
    <w:qFormat/>
    <w:rPr>
      <w:rFonts w:cs="Courier New"/>
    </w:rPr>
  </w:style>
  <w:style w:type="character" w:styleId="ListLabel1396" w:customStyle="1">
    <w:name w:val="ListLabel 1396"/>
    <w:qFormat/>
    <w:rPr>
      <w:rFonts w:cs="Wingdings"/>
    </w:rPr>
  </w:style>
  <w:style w:type="character" w:styleId="ListLabel1397" w:customStyle="1">
    <w:name w:val="ListLabel 1397"/>
    <w:qFormat/>
    <w:rPr>
      <w:rFonts w:cs="Symbol"/>
    </w:rPr>
  </w:style>
  <w:style w:type="character" w:styleId="ListLabel1398" w:customStyle="1">
    <w:name w:val="ListLabel 1398"/>
    <w:qFormat/>
    <w:rPr>
      <w:rFonts w:cs="Courier New"/>
    </w:rPr>
  </w:style>
  <w:style w:type="character" w:styleId="ListLabel1399" w:customStyle="1">
    <w:name w:val="ListLabel 1399"/>
    <w:qFormat/>
    <w:rPr>
      <w:rFonts w:cs="Wingdings"/>
    </w:rPr>
  </w:style>
  <w:style w:type="character" w:styleId="ListLabel1400" w:customStyle="1">
    <w:name w:val="ListLabel 1400"/>
    <w:qFormat/>
    <w:rPr>
      <w:rFonts w:cs="Symbol"/>
    </w:rPr>
  </w:style>
  <w:style w:type="character" w:styleId="ListLabel1401" w:customStyle="1">
    <w:name w:val="ListLabel 1401"/>
    <w:qFormat/>
    <w:rPr>
      <w:rFonts w:cs="Courier New"/>
    </w:rPr>
  </w:style>
  <w:style w:type="character" w:styleId="ListLabel1402" w:customStyle="1">
    <w:name w:val="ListLabel 1402"/>
    <w:qFormat/>
    <w:rPr>
      <w:rFonts w:cs="Wingdings"/>
    </w:rPr>
  </w:style>
  <w:style w:type="character" w:styleId="ListLabel1403" w:customStyle="1">
    <w:name w:val="ListLabel 1403"/>
    <w:qFormat/>
    <w:rPr>
      <w:rFonts w:cs="OpenSymbol"/>
    </w:rPr>
  </w:style>
  <w:style w:type="character" w:styleId="ListLabel1404" w:customStyle="1">
    <w:name w:val="ListLabel 1404"/>
    <w:qFormat/>
    <w:rPr>
      <w:rFonts w:cs="OpenSymbol"/>
    </w:rPr>
  </w:style>
  <w:style w:type="character" w:styleId="ListLabel1405" w:customStyle="1">
    <w:name w:val="ListLabel 1405"/>
    <w:qFormat/>
    <w:rPr>
      <w:rFonts w:cs="OpenSymbol"/>
    </w:rPr>
  </w:style>
  <w:style w:type="character" w:styleId="ListLabel1406" w:customStyle="1">
    <w:name w:val="ListLabel 1406"/>
    <w:qFormat/>
    <w:rPr>
      <w:rFonts w:cs="OpenSymbol"/>
    </w:rPr>
  </w:style>
  <w:style w:type="character" w:styleId="ListLabel1407" w:customStyle="1">
    <w:name w:val="ListLabel 1407"/>
    <w:qFormat/>
    <w:rPr>
      <w:rFonts w:cs="OpenSymbol"/>
    </w:rPr>
  </w:style>
  <w:style w:type="character" w:styleId="ListLabel1408" w:customStyle="1">
    <w:name w:val="ListLabel 1408"/>
    <w:qFormat/>
    <w:rPr>
      <w:rFonts w:cs="OpenSymbol"/>
    </w:rPr>
  </w:style>
  <w:style w:type="character" w:styleId="ListLabel1409" w:customStyle="1">
    <w:name w:val="ListLabel 1409"/>
    <w:qFormat/>
    <w:rPr>
      <w:rFonts w:cs="OpenSymbol"/>
    </w:rPr>
  </w:style>
  <w:style w:type="character" w:styleId="ListLabel1410" w:customStyle="1">
    <w:name w:val="ListLabel 1410"/>
    <w:qFormat/>
    <w:rPr>
      <w:rFonts w:cs="OpenSymbol"/>
    </w:rPr>
  </w:style>
  <w:style w:type="character" w:styleId="ListLabel1411" w:customStyle="1">
    <w:name w:val="ListLabel 1411"/>
    <w:qFormat/>
    <w:rPr>
      <w:rFonts w:cs="OpenSymbol"/>
    </w:rPr>
  </w:style>
  <w:style w:type="character" w:styleId="ListLabel1412" w:customStyle="1">
    <w:name w:val="ListLabel 1412"/>
    <w:qFormat/>
    <w:rPr>
      <w:rFonts w:cs="OpenSymbol"/>
    </w:rPr>
  </w:style>
  <w:style w:type="character" w:styleId="ListLabel1413" w:customStyle="1">
    <w:name w:val="ListLabel 1413"/>
    <w:qFormat/>
    <w:rPr>
      <w:rFonts w:cs="OpenSymbol"/>
    </w:rPr>
  </w:style>
  <w:style w:type="character" w:styleId="ListLabel1414" w:customStyle="1">
    <w:name w:val="ListLabel 1414"/>
    <w:qFormat/>
    <w:rPr>
      <w:rFonts w:cs="OpenSymbol"/>
    </w:rPr>
  </w:style>
  <w:style w:type="character" w:styleId="ListLabel1415" w:customStyle="1">
    <w:name w:val="ListLabel 1415"/>
    <w:qFormat/>
    <w:rPr>
      <w:rFonts w:cs="OpenSymbol"/>
    </w:rPr>
  </w:style>
  <w:style w:type="character" w:styleId="ListLabel1416" w:customStyle="1">
    <w:name w:val="ListLabel 1416"/>
    <w:qFormat/>
    <w:rPr>
      <w:rFonts w:cs="OpenSymbol"/>
    </w:rPr>
  </w:style>
  <w:style w:type="character" w:styleId="ListLabel1417" w:customStyle="1">
    <w:name w:val="ListLabel 1417"/>
    <w:qFormat/>
    <w:rPr>
      <w:rFonts w:cs="OpenSymbol"/>
    </w:rPr>
  </w:style>
  <w:style w:type="character" w:styleId="ListLabel1418" w:customStyle="1">
    <w:name w:val="ListLabel 1418"/>
    <w:qFormat/>
    <w:rPr>
      <w:rFonts w:cs="OpenSymbol"/>
    </w:rPr>
  </w:style>
  <w:style w:type="character" w:styleId="ListLabel1419" w:customStyle="1">
    <w:name w:val="ListLabel 1419"/>
    <w:qFormat/>
    <w:rPr>
      <w:rFonts w:cs="OpenSymbol"/>
    </w:rPr>
  </w:style>
  <w:style w:type="character" w:styleId="ListLabel1420" w:customStyle="1">
    <w:name w:val="ListLabel 1420"/>
    <w:qFormat/>
    <w:rPr>
      <w:rFonts w:cs="OpenSymbol"/>
    </w:rPr>
  </w:style>
  <w:style w:type="character" w:styleId="ListLabel1421" w:customStyle="1">
    <w:name w:val="ListLabel 1421"/>
    <w:qFormat/>
    <w:rPr>
      <w:rFonts w:cs="OpenSymbol"/>
    </w:rPr>
  </w:style>
  <w:style w:type="character" w:styleId="ListLabel1422" w:customStyle="1">
    <w:name w:val="ListLabel 1422"/>
    <w:qFormat/>
    <w:rPr>
      <w:rFonts w:cs="OpenSymbol"/>
    </w:rPr>
  </w:style>
  <w:style w:type="character" w:styleId="ListLabel1423" w:customStyle="1">
    <w:name w:val="ListLabel 1423"/>
    <w:qFormat/>
    <w:rPr>
      <w:rFonts w:cs="OpenSymbol"/>
    </w:rPr>
  </w:style>
  <w:style w:type="character" w:styleId="ListLabel1424" w:customStyle="1">
    <w:name w:val="ListLabel 1424"/>
    <w:qFormat/>
    <w:rPr>
      <w:rFonts w:cs="OpenSymbol"/>
    </w:rPr>
  </w:style>
  <w:style w:type="character" w:styleId="ListLabel1425" w:customStyle="1">
    <w:name w:val="ListLabel 1425"/>
    <w:qFormat/>
    <w:rPr>
      <w:rFonts w:cs="OpenSymbol"/>
    </w:rPr>
  </w:style>
  <w:style w:type="character" w:styleId="ListLabel1426" w:customStyle="1">
    <w:name w:val="ListLabel 1426"/>
    <w:qFormat/>
    <w:rPr>
      <w:rFonts w:cs="OpenSymbol"/>
    </w:rPr>
  </w:style>
  <w:style w:type="character" w:styleId="ListLabel1427" w:customStyle="1">
    <w:name w:val="ListLabel 1427"/>
    <w:qFormat/>
    <w:rPr>
      <w:rFonts w:cs="OpenSymbol"/>
    </w:rPr>
  </w:style>
  <w:style w:type="character" w:styleId="ListLabel1428" w:customStyle="1">
    <w:name w:val="ListLabel 1428"/>
    <w:qFormat/>
    <w:rPr>
      <w:rFonts w:cs="OpenSymbol"/>
    </w:rPr>
  </w:style>
  <w:style w:type="character" w:styleId="ListLabel1429" w:customStyle="1">
    <w:name w:val="ListLabel 1429"/>
    <w:qFormat/>
    <w:rPr>
      <w:rFonts w:cs="OpenSymbol"/>
    </w:rPr>
  </w:style>
  <w:style w:type="character" w:styleId="ListLabel1430" w:customStyle="1">
    <w:name w:val="ListLabel 1430"/>
    <w:qFormat/>
    <w:rPr>
      <w:rFonts w:cs="OpenSymbol"/>
    </w:rPr>
  </w:style>
  <w:style w:type="character" w:styleId="ListLabel1431" w:customStyle="1">
    <w:name w:val="ListLabel 1431"/>
    <w:qFormat/>
    <w:rPr>
      <w:rFonts w:cs="OpenSymbol"/>
    </w:rPr>
  </w:style>
  <w:style w:type="character" w:styleId="ListLabel1432" w:customStyle="1">
    <w:name w:val="ListLabel 1432"/>
    <w:qFormat/>
    <w:rPr>
      <w:rFonts w:cs="OpenSymbol"/>
    </w:rPr>
  </w:style>
  <w:style w:type="character" w:styleId="ListLabel1433" w:customStyle="1">
    <w:name w:val="ListLabel 1433"/>
    <w:qFormat/>
    <w:rPr>
      <w:rFonts w:cs="OpenSymbol"/>
    </w:rPr>
  </w:style>
  <w:style w:type="character" w:styleId="ListLabel1434" w:customStyle="1">
    <w:name w:val="ListLabel 1434"/>
    <w:qFormat/>
    <w:rPr>
      <w:rFonts w:cs="OpenSymbol"/>
    </w:rPr>
  </w:style>
  <w:style w:type="character" w:styleId="ListLabel1435" w:customStyle="1">
    <w:name w:val="ListLabel 1435"/>
    <w:qFormat/>
    <w:rPr>
      <w:rFonts w:cs="OpenSymbol"/>
    </w:rPr>
  </w:style>
  <w:style w:type="character" w:styleId="ListLabel1436" w:customStyle="1">
    <w:name w:val="ListLabel 1436"/>
    <w:qFormat/>
    <w:rPr>
      <w:rFonts w:cs="OpenSymbol"/>
    </w:rPr>
  </w:style>
  <w:style w:type="character" w:styleId="ListLabel1437" w:customStyle="1">
    <w:name w:val="ListLabel 1437"/>
    <w:qFormat/>
    <w:rPr>
      <w:rFonts w:cs="OpenSymbol"/>
    </w:rPr>
  </w:style>
  <w:style w:type="character" w:styleId="ListLabel1438" w:customStyle="1">
    <w:name w:val="ListLabel 1438"/>
    <w:qFormat/>
    <w:rPr>
      <w:rFonts w:cs="OpenSymbol"/>
    </w:rPr>
  </w:style>
  <w:style w:type="character" w:styleId="ListLabel1439" w:customStyle="1">
    <w:name w:val="ListLabel 1439"/>
    <w:qFormat/>
    <w:rPr>
      <w:rFonts w:cs="OpenSymbol"/>
    </w:rPr>
  </w:style>
  <w:style w:type="character" w:styleId="ListLabel1440" w:customStyle="1">
    <w:name w:val="ListLabel 1440"/>
    <w:qFormat/>
    <w:rPr>
      <w:rFonts w:cs="OpenSymbol"/>
    </w:rPr>
  </w:style>
  <w:style w:type="character" w:styleId="ListLabel1441" w:customStyle="1">
    <w:name w:val="ListLabel 1441"/>
    <w:qFormat/>
    <w:rPr>
      <w:rFonts w:cs="OpenSymbol"/>
    </w:rPr>
  </w:style>
  <w:style w:type="character" w:styleId="ListLabel1442" w:customStyle="1">
    <w:name w:val="ListLabel 1442"/>
    <w:qFormat/>
    <w:rPr>
      <w:rFonts w:cs="OpenSymbol"/>
    </w:rPr>
  </w:style>
  <w:style w:type="character" w:styleId="ListLabel1443" w:customStyle="1">
    <w:name w:val="ListLabel 1443"/>
    <w:qFormat/>
    <w:rPr>
      <w:rFonts w:cs="OpenSymbol"/>
    </w:rPr>
  </w:style>
  <w:style w:type="character" w:styleId="ListLabel1444" w:customStyle="1">
    <w:name w:val="ListLabel 1444"/>
    <w:qFormat/>
    <w:rPr>
      <w:rFonts w:cs="OpenSymbol"/>
    </w:rPr>
  </w:style>
  <w:style w:type="character" w:styleId="ListLabel1445" w:customStyle="1">
    <w:name w:val="ListLabel 1445"/>
    <w:qFormat/>
    <w:rPr>
      <w:rFonts w:cs="OpenSymbol"/>
    </w:rPr>
  </w:style>
  <w:style w:type="character" w:styleId="ListLabel1446" w:customStyle="1">
    <w:name w:val="ListLabel 1446"/>
    <w:qFormat/>
    <w:rPr>
      <w:rFonts w:cs="OpenSymbol"/>
    </w:rPr>
  </w:style>
  <w:style w:type="character" w:styleId="ListLabel1447" w:customStyle="1">
    <w:name w:val="ListLabel 1447"/>
    <w:qFormat/>
    <w:rPr>
      <w:rFonts w:cs="OpenSymbol"/>
    </w:rPr>
  </w:style>
  <w:style w:type="character" w:styleId="ListLabel1448" w:customStyle="1">
    <w:name w:val="ListLabel 1448"/>
    <w:qFormat/>
    <w:rPr>
      <w:rFonts w:cs="OpenSymbol"/>
    </w:rPr>
  </w:style>
  <w:style w:type="character" w:styleId="ListLabel1449" w:customStyle="1">
    <w:name w:val="ListLabel 1449"/>
    <w:qFormat/>
    <w:rPr>
      <w:rFonts w:cs="OpenSymbol"/>
    </w:rPr>
  </w:style>
  <w:style w:type="character" w:styleId="ListLabel1450" w:customStyle="1">
    <w:name w:val="ListLabel 1450"/>
    <w:qFormat/>
    <w:rPr>
      <w:rFonts w:cs="OpenSymbol"/>
    </w:rPr>
  </w:style>
  <w:style w:type="character" w:styleId="ListLabel1451" w:customStyle="1">
    <w:name w:val="ListLabel 1451"/>
    <w:qFormat/>
    <w:rPr>
      <w:rFonts w:cs="OpenSymbol"/>
    </w:rPr>
  </w:style>
  <w:style w:type="character" w:styleId="ListLabel1452" w:customStyle="1">
    <w:name w:val="ListLabel 1452"/>
    <w:qFormat/>
    <w:rPr>
      <w:rFonts w:cs="OpenSymbol"/>
    </w:rPr>
  </w:style>
  <w:style w:type="character" w:styleId="ListLabel1453" w:customStyle="1">
    <w:name w:val="ListLabel 1453"/>
    <w:qFormat/>
    <w:rPr>
      <w:rFonts w:cs="OpenSymbol"/>
    </w:rPr>
  </w:style>
  <w:style w:type="character" w:styleId="ListLabel1454" w:customStyle="1">
    <w:name w:val="ListLabel 1454"/>
    <w:qFormat/>
    <w:rPr>
      <w:rFonts w:cs="OpenSymbol"/>
    </w:rPr>
  </w:style>
  <w:style w:type="character" w:styleId="ListLabel1455" w:customStyle="1">
    <w:name w:val="ListLabel 1455"/>
    <w:qFormat/>
    <w:rPr>
      <w:rFonts w:cs="OpenSymbol"/>
    </w:rPr>
  </w:style>
  <w:style w:type="character" w:styleId="ListLabel1456" w:customStyle="1">
    <w:name w:val="ListLabel 1456"/>
    <w:qFormat/>
    <w:rPr>
      <w:rFonts w:cs="OpenSymbol"/>
    </w:rPr>
  </w:style>
  <w:style w:type="character" w:styleId="ListLabel1457" w:customStyle="1">
    <w:name w:val="ListLabel 1457"/>
    <w:qFormat/>
    <w:rPr>
      <w:szCs w:val="20"/>
    </w:rPr>
  </w:style>
  <w:style w:type="character" w:styleId="ListLabel1458" w:customStyle="1">
    <w:name w:val="ListLabel 1458"/>
    <w:qFormat/>
    <w:rPr>
      <w:szCs w:val="20"/>
      <w:u w:val="none"/>
    </w:rPr>
  </w:style>
  <w:style w:type="character" w:styleId="ListLabel1459" w:customStyle="1">
    <w:name w:val="ListLabel 1459"/>
    <w:qFormat/>
    <w:rPr/>
  </w:style>
  <w:style w:type="character" w:styleId="ListLabel1460" w:customStyle="1">
    <w:name w:val="ListLabel 1460"/>
    <w:qFormat/>
    <w:rPr>
      <w:sz w:val="20"/>
      <w:szCs w:val="20"/>
      <w:u w:val="none"/>
    </w:rPr>
  </w:style>
  <w:style w:type="character" w:styleId="ListLabel1461" w:customStyle="1">
    <w:name w:val="ListLabel 1461"/>
    <w:qFormat/>
    <w:rPr/>
  </w:style>
  <w:style w:type="character" w:styleId="ListLabel1462" w:customStyle="1">
    <w:name w:val="ListLabel 1462"/>
    <w:qFormat/>
    <w:rPr/>
  </w:style>
  <w:style w:type="character" w:styleId="ListLabel1463" w:customStyle="1">
    <w:name w:val="ListLabel 1463"/>
    <w:qFormat/>
    <w:rPr>
      <w:rFonts w:cs="OpenSymbol"/>
      <w:sz w:val="20"/>
    </w:rPr>
  </w:style>
  <w:style w:type="character" w:styleId="ListLabel1464" w:customStyle="1">
    <w:name w:val="ListLabel 1464"/>
    <w:qFormat/>
    <w:rPr>
      <w:rFonts w:cs="OpenSymbol;Arial Unicode MS"/>
      <w:lang w:val="nl-NL"/>
    </w:rPr>
  </w:style>
  <w:style w:type="character" w:styleId="ListLabel1465" w:customStyle="1">
    <w:name w:val="ListLabel 1465"/>
    <w:qFormat/>
    <w:rPr>
      <w:rFonts w:cs="OpenSymbol;Arial Unicode MS"/>
      <w:lang w:val="nl-NL"/>
    </w:rPr>
  </w:style>
  <w:style w:type="character" w:styleId="ListLabel1466" w:customStyle="1">
    <w:name w:val="ListLabel 1466"/>
    <w:qFormat/>
    <w:rPr>
      <w:rFonts w:cs="OpenSymbol;Arial Unicode MS"/>
      <w:lang w:val="nl-NL"/>
    </w:rPr>
  </w:style>
  <w:style w:type="character" w:styleId="ListLabel1467" w:customStyle="1">
    <w:name w:val="ListLabel 1467"/>
    <w:qFormat/>
    <w:rPr>
      <w:rFonts w:cs="OpenSymbol;Arial Unicode MS"/>
      <w:lang w:val="nl-NL"/>
    </w:rPr>
  </w:style>
  <w:style w:type="character" w:styleId="ListLabel1468" w:customStyle="1">
    <w:name w:val="ListLabel 1468"/>
    <w:qFormat/>
    <w:rPr>
      <w:rFonts w:cs="OpenSymbol;Arial Unicode MS"/>
      <w:lang w:val="nl-NL"/>
    </w:rPr>
  </w:style>
  <w:style w:type="character" w:styleId="ListLabel1469" w:customStyle="1">
    <w:name w:val="ListLabel 1469"/>
    <w:qFormat/>
    <w:rPr>
      <w:rFonts w:cs="OpenSymbol;Arial Unicode MS"/>
      <w:lang w:val="nl-NL"/>
    </w:rPr>
  </w:style>
  <w:style w:type="character" w:styleId="ListLabel1470" w:customStyle="1">
    <w:name w:val="ListLabel 1470"/>
    <w:qFormat/>
    <w:rPr>
      <w:rFonts w:cs="OpenSymbol;Arial Unicode MS"/>
      <w:lang w:val="nl-NL"/>
    </w:rPr>
  </w:style>
  <w:style w:type="character" w:styleId="ListLabel1471" w:customStyle="1">
    <w:name w:val="ListLabel 1471"/>
    <w:qFormat/>
    <w:rPr>
      <w:rFonts w:cs="OpenSymbol;Arial Unicode MS"/>
      <w:lang w:val="nl-NL"/>
    </w:rPr>
  </w:style>
  <w:style w:type="character" w:styleId="ListLabel1472" w:customStyle="1">
    <w:name w:val="ListLabel 1472"/>
    <w:qFormat/>
    <w:rPr>
      <w:rFonts w:cs="OpenSymbol"/>
      <w:sz w:val="20"/>
    </w:rPr>
  </w:style>
  <w:style w:type="character" w:styleId="ListLabel1473" w:customStyle="1">
    <w:name w:val="ListLabel 1473"/>
    <w:qFormat/>
    <w:rPr>
      <w:rFonts w:cs="OpenSymbol"/>
    </w:rPr>
  </w:style>
  <w:style w:type="character" w:styleId="ListLabel1474" w:customStyle="1">
    <w:name w:val="ListLabel 1474"/>
    <w:qFormat/>
    <w:rPr>
      <w:rFonts w:cs="OpenSymbol"/>
    </w:rPr>
  </w:style>
  <w:style w:type="character" w:styleId="ListLabel1475" w:customStyle="1">
    <w:name w:val="ListLabel 1475"/>
    <w:qFormat/>
    <w:rPr>
      <w:rFonts w:cs="OpenSymbol"/>
    </w:rPr>
  </w:style>
  <w:style w:type="character" w:styleId="ListLabel1476" w:customStyle="1">
    <w:name w:val="ListLabel 1476"/>
    <w:qFormat/>
    <w:rPr>
      <w:rFonts w:cs="OpenSymbol"/>
    </w:rPr>
  </w:style>
  <w:style w:type="character" w:styleId="ListLabel1477" w:customStyle="1">
    <w:name w:val="ListLabel 1477"/>
    <w:qFormat/>
    <w:rPr>
      <w:rFonts w:cs="OpenSymbol"/>
    </w:rPr>
  </w:style>
  <w:style w:type="character" w:styleId="ListLabel1478" w:customStyle="1">
    <w:name w:val="ListLabel 1478"/>
    <w:qFormat/>
    <w:rPr>
      <w:rFonts w:cs="OpenSymbol"/>
    </w:rPr>
  </w:style>
  <w:style w:type="character" w:styleId="ListLabel1479" w:customStyle="1">
    <w:name w:val="ListLabel 1479"/>
    <w:qFormat/>
    <w:rPr>
      <w:rFonts w:cs="OpenSymbol"/>
    </w:rPr>
  </w:style>
  <w:style w:type="character" w:styleId="ListLabel1480" w:customStyle="1">
    <w:name w:val="ListLabel 1480"/>
    <w:qFormat/>
    <w:rPr>
      <w:rFonts w:cs="OpenSymbol"/>
    </w:rPr>
  </w:style>
  <w:style w:type="character" w:styleId="ListLabel1481" w:customStyle="1">
    <w:name w:val="ListLabel 1481"/>
    <w:qFormat/>
    <w:rPr>
      <w:rFonts w:cs="OpenSymbol"/>
      <w:sz w:val="20"/>
    </w:rPr>
  </w:style>
  <w:style w:type="character" w:styleId="ListLabel1482" w:customStyle="1">
    <w:name w:val="ListLabel 1482"/>
    <w:qFormat/>
    <w:rPr>
      <w:rFonts w:cs="OpenSymbol"/>
    </w:rPr>
  </w:style>
  <w:style w:type="character" w:styleId="ListLabel1483" w:customStyle="1">
    <w:name w:val="ListLabel 1483"/>
    <w:qFormat/>
    <w:rPr>
      <w:rFonts w:cs="OpenSymbol"/>
    </w:rPr>
  </w:style>
  <w:style w:type="character" w:styleId="ListLabel1484" w:customStyle="1">
    <w:name w:val="ListLabel 1484"/>
    <w:qFormat/>
    <w:rPr>
      <w:rFonts w:cs="OpenSymbol"/>
    </w:rPr>
  </w:style>
  <w:style w:type="character" w:styleId="ListLabel1485" w:customStyle="1">
    <w:name w:val="ListLabel 1485"/>
    <w:qFormat/>
    <w:rPr>
      <w:rFonts w:cs="OpenSymbol"/>
    </w:rPr>
  </w:style>
  <w:style w:type="character" w:styleId="ListLabel1486" w:customStyle="1">
    <w:name w:val="ListLabel 1486"/>
    <w:qFormat/>
    <w:rPr>
      <w:rFonts w:cs="OpenSymbol"/>
    </w:rPr>
  </w:style>
  <w:style w:type="character" w:styleId="ListLabel1487" w:customStyle="1">
    <w:name w:val="ListLabel 1487"/>
    <w:qFormat/>
    <w:rPr>
      <w:rFonts w:cs="OpenSymbol"/>
    </w:rPr>
  </w:style>
  <w:style w:type="character" w:styleId="ListLabel1488" w:customStyle="1">
    <w:name w:val="ListLabel 1488"/>
    <w:qFormat/>
    <w:rPr>
      <w:rFonts w:cs="OpenSymbol"/>
    </w:rPr>
  </w:style>
  <w:style w:type="character" w:styleId="ListLabel1489" w:customStyle="1">
    <w:name w:val="ListLabel 1489"/>
    <w:qFormat/>
    <w:rPr>
      <w:rFonts w:cs="OpenSymbol"/>
    </w:rPr>
  </w:style>
  <w:style w:type="character" w:styleId="ListLabel1490" w:customStyle="1">
    <w:name w:val="ListLabel 1490"/>
    <w:qFormat/>
    <w:rPr>
      <w:rFonts w:cs="OpenSymbol"/>
      <w:sz w:val="20"/>
    </w:rPr>
  </w:style>
  <w:style w:type="character" w:styleId="ListLabel1491" w:customStyle="1">
    <w:name w:val="ListLabel 1491"/>
    <w:qFormat/>
    <w:rPr>
      <w:rFonts w:cs="OpenSymbol"/>
    </w:rPr>
  </w:style>
  <w:style w:type="character" w:styleId="ListLabel1492" w:customStyle="1">
    <w:name w:val="ListLabel 1492"/>
    <w:qFormat/>
    <w:rPr>
      <w:rFonts w:cs="OpenSymbol"/>
    </w:rPr>
  </w:style>
  <w:style w:type="character" w:styleId="ListLabel1493" w:customStyle="1">
    <w:name w:val="ListLabel 1493"/>
    <w:qFormat/>
    <w:rPr>
      <w:rFonts w:cs="OpenSymbol"/>
    </w:rPr>
  </w:style>
  <w:style w:type="character" w:styleId="ListLabel1494" w:customStyle="1">
    <w:name w:val="ListLabel 1494"/>
    <w:qFormat/>
    <w:rPr>
      <w:rFonts w:cs="OpenSymbol"/>
    </w:rPr>
  </w:style>
  <w:style w:type="character" w:styleId="ListLabel1495" w:customStyle="1">
    <w:name w:val="ListLabel 1495"/>
    <w:qFormat/>
    <w:rPr>
      <w:rFonts w:cs="OpenSymbol"/>
    </w:rPr>
  </w:style>
  <w:style w:type="character" w:styleId="ListLabel1496" w:customStyle="1">
    <w:name w:val="ListLabel 1496"/>
    <w:qFormat/>
    <w:rPr>
      <w:rFonts w:cs="OpenSymbol"/>
    </w:rPr>
  </w:style>
  <w:style w:type="character" w:styleId="ListLabel1497" w:customStyle="1">
    <w:name w:val="ListLabel 1497"/>
    <w:qFormat/>
    <w:rPr>
      <w:rFonts w:cs="OpenSymbol"/>
    </w:rPr>
  </w:style>
  <w:style w:type="character" w:styleId="ListLabel1498" w:customStyle="1">
    <w:name w:val="ListLabel 1498"/>
    <w:qFormat/>
    <w:rPr>
      <w:rFonts w:cs="OpenSymbol"/>
    </w:rPr>
  </w:style>
  <w:style w:type="character" w:styleId="ListLabel1499" w:customStyle="1">
    <w:name w:val="ListLabel 1499"/>
    <w:qFormat/>
    <w:rPr>
      <w:rFonts w:cs="OpenSymbol"/>
      <w:sz w:val="20"/>
    </w:rPr>
  </w:style>
  <w:style w:type="character" w:styleId="ListLabel1500" w:customStyle="1">
    <w:name w:val="ListLabel 1500"/>
    <w:qFormat/>
    <w:rPr>
      <w:rFonts w:cs="OpenSymbol"/>
    </w:rPr>
  </w:style>
  <w:style w:type="character" w:styleId="ListLabel1501" w:customStyle="1">
    <w:name w:val="ListLabel 1501"/>
    <w:qFormat/>
    <w:rPr>
      <w:rFonts w:cs="OpenSymbol"/>
    </w:rPr>
  </w:style>
  <w:style w:type="character" w:styleId="ListLabel1502" w:customStyle="1">
    <w:name w:val="ListLabel 1502"/>
    <w:qFormat/>
    <w:rPr>
      <w:rFonts w:cs="OpenSymbol"/>
    </w:rPr>
  </w:style>
  <w:style w:type="character" w:styleId="ListLabel1503" w:customStyle="1">
    <w:name w:val="ListLabel 1503"/>
    <w:qFormat/>
    <w:rPr>
      <w:rFonts w:cs="OpenSymbol"/>
    </w:rPr>
  </w:style>
  <w:style w:type="character" w:styleId="ListLabel1504" w:customStyle="1">
    <w:name w:val="ListLabel 1504"/>
    <w:qFormat/>
    <w:rPr>
      <w:rFonts w:cs="OpenSymbol"/>
    </w:rPr>
  </w:style>
  <w:style w:type="character" w:styleId="ListLabel1505" w:customStyle="1">
    <w:name w:val="ListLabel 1505"/>
    <w:qFormat/>
    <w:rPr>
      <w:rFonts w:cs="OpenSymbol"/>
    </w:rPr>
  </w:style>
  <w:style w:type="character" w:styleId="ListLabel1506" w:customStyle="1">
    <w:name w:val="ListLabel 1506"/>
    <w:qFormat/>
    <w:rPr>
      <w:rFonts w:cs="OpenSymbol"/>
    </w:rPr>
  </w:style>
  <w:style w:type="character" w:styleId="ListLabel1507" w:customStyle="1">
    <w:name w:val="ListLabel 1507"/>
    <w:qFormat/>
    <w:rPr>
      <w:rFonts w:cs="OpenSymbol"/>
    </w:rPr>
  </w:style>
  <w:style w:type="character" w:styleId="ListLabel1508" w:customStyle="1">
    <w:name w:val="ListLabel 1508"/>
    <w:qFormat/>
    <w:rPr>
      <w:rFonts w:cs="OpenSymbol"/>
      <w:sz w:val="20"/>
    </w:rPr>
  </w:style>
  <w:style w:type="character" w:styleId="ListLabel1509" w:customStyle="1">
    <w:name w:val="ListLabel 1509"/>
    <w:qFormat/>
    <w:rPr>
      <w:rFonts w:cs="OpenSymbol"/>
    </w:rPr>
  </w:style>
  <w:style w:type="character" w:styleId="ListLabel1510" w:customStyle="1">
    <w:name w:val="ListLabel 1510"/>
    <w:qFormat/>
    <w:rPr>
      <w:rFonts w:cs="OpenSymbol"/>
    </w:rPr>
  </w:style>
  <w:style w:type="character" w:styleId="ListLabel1511" w:customStyle="1">
    <w:name w:val="ListLabel 1511"/>
    <w:qFormat/>
    <w:rPr>
      <w:rFonts w:cs="OpenSymbol"/>
    </w:rPr>
  </w:style>
  <w:style w:type="character" w:styleId="ListLabel1512" w:customStyle="1">
    <w:name w:val="ListLabel 1512"/>
    <w:qFormat/>
    <w:rPr>
      <w:rFonts w:cs="OpenSymbol"/>
    </w:rPr>
  </w:style>
  <w:style w:type="character" w:styleId="ListLabel1513" w:customStyle="1">
    <w:name w:val="ListLabel 1513"/>
    <w:qFormat/>
    <w:rPr>
      <w:rFonts w:cs="OpenSymbol"/>
    </w:rPr>
  </w:style>
  <w:style w:type="character" w:styleId="ListLabel1514" w:customStyle="1">
    <w:name w:val="ListLabel 1514"/>
    <w:qFormat/>
    <w:rPr>
      <w:rFonts w:cs="OpenSymbol"/>
    </w:rPr>
  </w:style>
  <w:style w:type="character" w:styleId="ListLabel1515" w:customStyle="1">
    <w:name w:val="ListLabel 1515"/>
    <w:qFormat/>
    <w:rPr>
      <w:rFonts w:cs="OpenSymbol"/>
    </w:rPr>
  </w:style>
  <w:style w:type="character" w:styleId="ListLabel1516" w:customStyle="1">
    <w:name w:val="ListLabel 1516"/>
    <w:qFormat/>
    <w:rPr>
      <w:rFonts w:cs="OpenSymbol"/>
    </w:rPr>
  </w:style>
  <w:style w:type="character" w:styleId="ListLabel1517" w:customStyle="1">
    <w:name w:val="ListLabel 1517"/>
    <w:qFormat/>
    <w:rPr>
      <w:rFonts w:cs="OpenSymbol"/>
      <w:sz w:val="20"/>
    </w:rPr>
  </w:style>
  <w:style w:type="character" w:styleId="ListLabel1518" w:customStyle="1">
    <w:name w:val="ListLabel 1518"/>
    <w:qFormat/>
    <w:rPr>
      <w:rFonts w:cs="OpenSymbol"/>
    </w:rPr>
  </w:style>
  <w:style w:type="character" w:styleId="ListLabel1519" w:customStyle="1">
    <w:name w:val="ListLabel 1519"/>
    <w:qFormat/>
    <w:rPr>
      <w:rFonts w:cs="OpenSymbol"/>
    </w:rPr>
  </w:style>
  <w:style w:type="character" w:styleId="ListLabel1520" w:customStyle="1">
    <w:name w:val="ListLabel 1520"/>
    <w:qFormat/>
    <w:rPr>
      <w:rFonts w:cs="OpenSymbol"/>
    </w:rPr>
  </w:style>
  <w:style w:type="character" w:styleId="ListLabel1521" w:customStyle="1">
    <w:name w:val="ListLabel 1521"/>
    <w:qFormat/>
    <w:rPr>
      <w:rFonts w:cs="OpenSymbol"/>
    </w:rPr>
  </w:style>
  <w:style w:type="character" w:styleId="ListLabel1522" w:customStyle="1">
    <w:name w:val="ListLabel 1522"/>
    <w:qFormat/>
    <w:rPr>
      <w:rFonts w:cs="OpenSymbol"/>
    </w:rPr>
  </w:style>
  <w:style w:type="character" w:styleId="ListLabel1523" w:customStyle="1">
    <w:name w:val="ListLabel 1523"/>
    <w:qFormat/>
    <w:rPr>
      <w:rFonts w:cs="OpenSymbol"/>
    </w:rPr>
  </w:style>
  <w:style w:type="character" w:styleId="ListLabel1524" w:customStyle="1">
    <w:name w:val="ListLabel 1524"/>
    <w:qFormat/>
    <w:rPr>
      <w:rFonts w:cs="OpenSymbol"/>
    </w:rPr>
  </w:style>
  <w:style w:type="character" w:styleId="ListLabel1525" w:customStyle="1">
    <w:name w:val="ListLabel 1525"/>
    <w:qFormat/>
    <w:rPr>
      <w:rFonts w:cs="OpenSymbol"/>
    </w:rPr>
  </w:style>
  <w:style w:type="character" w:styleId="ListLabel1526" w:customStyle="1">
    <w:name w:val="ListLabel 1526"/>
    <w:qFormat/>
    <w:rPr>
      <w:rFonts w:cs="Times New Roman"/>
      <w:sz w:val="20"/>
    </w:rPr>
  </w:style>
  <w:style w:type="character" w:styleId="ListLabel1527" w:customStyle="1">
    <w:name w:val="ListLabel 1527"/>
    <w:qFormat/>
    <w:rPr>
      <w:rFonts w:cs="Courier New"/>
    </w:rPr>
  </w:style>
  <w:style w:type="character" w:styleId="ListLabel1528" w:customStyle="1">
    <w:name w:val="ListLabel 1528"/>
    <w:qFormat/>
    <w:rPr>
      <w:rFonts w:cs="Wingdings"/>
    </w:rPr>
  </w:style>
  <w:style w:type="character" w:styleId="ListLabel1529" w:customStyle="1">
    <w:name w:val="ListLabel 1529"/>
    <w:qFormat/>
    <w:rPr>
      <w:rFonts w:cs="Symbol"/>
    </w:rPr>
  </w:style>
  <w:style w:type="character" w:styleId="ListLabel1530" w:customStyle="1">
    <w:name w:val="ListLabel 1530"/>
    <w:qFormat/>
    <w:rPr>
      <w:rFonts w:cs="Courier New"/>
    </w:rPr>
  </w:style>
  <w:style w:type="character" w:styleId="ListLabel1531" w:customStyle="1">
    <w:name w:val="ListLabel 1531"/>
    <w:qFormat/>
    <w:rPr>
      <w:rFonts w:cs="Wingdings"/>
    </w:rPr>
  </w:style>
  <w:style w:type="character" w:styleId="ListLabel1532" w:customStyle="1">
    <w:name w:val="ListLabel 1532"/>
    <w:qFormat/>
    <w:rPr>
      <w:rFonts w:cs="Symbol"/>
    </w:rPr>
  </w:style>
  <w:style w:type="character" w:styleId="ListLabel1533" w:customStyle="1">
    <w:name w:val="ListLabel 1533"/>
    <w:qFormat/>
    <w:rPr>
      <w:rFonts w:cs="Courier New"/>
    </w:rPr>
  </w:style>
  <w:style w:type="character" w:styleId="ListLabel1534" w:customStyle="1">
    <w:name w:val="ListLabel 1534"/>
    <w:qFormat/>
    <w:rPr>
      <w:rFonts w:cs="Wingdings"/>
    </w:rPr>
  </w:style>
  <w:style w:type="character" w:styleId="ListLabel1535" w:customStyle="1">
    <w:name w:val="ListLabel 1535"/>
    <w:qFormat/>
    <w:rPr>
      <w:rFonts w:cs="OpenSymbol"/>
      <w:sz w:val="20"/>
    </w:rPr>
  </w:style>
  <w:style w:type="character" w:styleId="ListLabel1536" w:customStyle="1">
    <w:name w:val="ListLabel 1536"/>
    <w:qFormat/>
    <w:rPr>
      <w:rFonts w:cs="Courier New"/>
    </w:rPr>
  </w:style>
  <w:style w:type="character" w:styleId="ListLabel1537" w:customStyle="1">
    <w:name w:val="ListLabel 1537"/>
    <w:qFormat/>
    <w:rPr>
      <w:rFonts w:cs="Wingdings"/>
    </w:rPr>
  </w:style>
  <w:style w:type="character" w:styleId="ListLabel1538" w:customStyle="1">
    <w:name w:val="ListLabel 1538"/>
    <w:qFormat/>
    <w:rPr>
      <w:rFonts w:cs="Symbol"/>
    </w:rPr>
  </w:style>
  <w:style w:type="character" w:styleId="ListLabel1539" w:customStyle="1">
    <w:name w:val="ListLabel 1539"/>
    <w:qFormat/>
    <w:rPr>
      <w:rFonts w:cs="Courier New"/>
    </w:rPr>
  </w:style>
  <w:style w:type="character" w:styleId="ListLabel1540" w:customStyle="1">
    <w:name w:val="ListLabel 1540"/>
    <w:qFormat/>
    <w:rPr>
      <w:rFonts w:cs="Wingdings"/>
    </w:rPr>
  </w:style>
  <w:style w:type="character" w:styleId="ListLabel1541" w:customStyle="1">
    <w:name w:val="ListLabel 1541"/>
    <w:qFormat/>
    <w:rPr>
      <w:rFonts w:cs="Symbol"/>
    </w:rPr>
  </w:style>
  <w:style w:type="character" w:styleId="ListLabel1542" w:customStyle="1">
    <w:name w:val="ListLabel 1542"/>
    <w:qFormat/>
    <w:rPr>
      <w:rFonts w:cs="Courier New"/>
    </w:rPr>
  </w:style>
  <w:style w:type="character" w:styleId="ListLabel1543" w:customStyle="1">
    <w:name w:val="ListLabel 1543"/>
    <w:qFormat/>
    <w:rPr>
      <w:rFonts w:cs="Wingdings"/>
    </w:rPr>
  </w:style>
  <w:style w:type="character" w:styleId="ListLabel1544" w:customStyle="1">
    <w:name w:val="ListLabel 1544"/>
    <w:qFormat/>
    <w:rPr>
      <w:rFonts w:cs="Times New Roman"/>
      <w:sz w:val="20"/>
    </w:rPr>
  </w:style>
  <w:style w:type="character" w:styleId="ListLabel1545" w:customStyle="1">
    <w:name w:val="ListLabel 1545"/>
    <w:qFormat/>
    <w:rPr>
      <w:rFonts w:cs="Courier New"/>
    </w:rPr>
  </w:style>
  <w:style w:type="character" w:styleId="ListLabel1546" w:customStyle="1">
    <w:name w:val="ListLabel 1546"/>
    <w:qFormat/>
    <w:rPr>
      <w:rFonts w:cs="Wingdings"/>
    </w:rPr>
  </w:style>
  <w:style w:type="character" w:styleId="ListLabel1547" w:customStyle="1">
    <w:name w:val="ListLabel 1547"/>
    <w:qFormat/>
    <w:rPr>
      <w:rFonts w:cs="Symbol"/>
    </w:rPr>
  </w:style>
  <w:style w:type="character" w:styleId="ListLabel1548" w:customStyle="1">
    <w:name w:val="ListLabel 1548"/>
    <w:qFormat/>
    <w:rPr>
      <w:rFonts w:cs="Courier New"/>
    </w:rPr>
  </w:style>
  <w:style w:type="character" w:styleId="ListLabel1549" w:customStyle="1">
    <w:name w:val="ListLabel 1549"/>
    <w:qFormat/>
    <w:rPr>
      <w:rFonts w:cs="Wingdings"/>
    </w:rPr>
  </w:style>
  <w:style w:type="character" w:styleId="ListLabel1550" w:customStyle="1">
    <w:name w:val="ListLabel 1550"/>
    <w:qFormat/>
    <w:rPr>
      <w:rFonts w:cs="Symbol"/>
    </w:rPr>
  </w:style>
  <w:style w:type="character" w:styleId="ListLabel1551" w:customStyle="1">
    <w:name w:val="ListLabel 1551"/>
    <w:qFormat/>
    <w:rPr>
      <w:rFonts w:cs="Courier New"/>
    </w:rPr>
  </w:style>
  <w:style w:type="character" w:styleId="ListLabel1552" w:customStyle="1">
    <w:name w:val="ListLabel 1552"/>
    <w:qFormat/>
    <w:rPr>
      <w:rFonts w:cs="Wingdings"/>
    </w:rPr>
  </w:style>
  <w:style w:type="character" w:styleId="ListLabel1553" w:customStyle="1">
    <w:name w:val="ListLabel 1553"/>
    <w:qFormat/>
    <w:rPr>
      <w:rFonts w:cs="Symbol"/>
    </w:rPr>
  </w:style>
  <w:style w:type="character" w:styleId="ListLabel1554" w:customStyle="1">
    <w:name w:val="ListLabel 1554"/>
    <w:qFormat/>
    <w:rPr>
      <w:rFonts w:cs="Times New Roman"/>
      <w:sz w:val="20"/>
    </w:rPr>
  </w:style>
  <w:style w:type="character" w:styleId="ListLabel1555" w:customStyle="1">
    <w:name w:val="ListLabel 1555"/>
    <w:qFormat/>
    <w:rPr>
      <w:rFonts w:cs="Times New Roman"/>
      <w:sz w:val="16"/>
    </w:rPr>
  </w:style>
  <w:style w:type="character" w:styleId="ListLabel1556" w:customStyle="1">
    <w:name w:val="ListLabel 1556"/>
    <w:qFormat/>
    <w:rPr>
      <w:rFonts w:cs="Courier New"/>
    </w:rPr>
  </w:style>
  <w:style w:type="character" w:styleId="ListLabel1557" w:customStyle="1">
    <w:name w:val="ListLabel 1557"/>
    <w:qFormat/>
    <w:rPr>
      <w:rFonts w:cs="Wingdings"/>
    </w:rPr>
  </w:style>
  <w:style w:type="character" w:styleId="ListLabel1558" w:customStyle="1">
    <w:name w:val="ListLabel 1558"/>
    <w:qFormat/>
    <w:rPr>
      <w:rFonts w:cs="Symbol"/>
    </w:rPr>
  </w:style>
  <w:style w:type="character" w:styleId="ListLabel1559" w:customStyle="1">
    <w:name w:val="ListLabel 1559"/>
    <w:qFormat/>
    <w:rPr>
      <w:rFonts w:cs="Courier New"/>
    </w:rPr>
  </w:style>
  <w:style w:type="character" w:styleId="ListLabel1560" w:customStyle="1">
    <w:name w:val="ListLabel 1560"/>
    <w:qFormat/>
    <w:rPr>
      <w:rFonts w:cs="Wingdings"/>
    </w:rPr>
  </w:style>
  <w:style w:type="character" w:styleId="ListLabel1561" w:customStyle="1">
    <w:name w:val="ListLabel 1561"/>
    <w:qFormat/>
    <w:rPr>
      <w:rFonts w:cs="Symbol"/>
    </w:rPr>
  </w:style>
  <w:style w:type="character" w:styleId="ListLabel1562" w:customStyle="1">
    <w:name w:val="ListLabel 1562"/>
    <w:qFormat/>
    <w:rPr>
      <w:rFonts w:cs="Courier New"/>
    </w:rPr>
  </w:style>
  <w:style w:type="character" w:styleId="ListLabel1563" w:customStyle="1">
    <w:name w:val="ListLabel 1563"/>
    <w:qFormat/>
    <w:rPr>
      <w:rFonts w:cs="Wingdings"/>
    </w:rPr>
  </w:style>
  <w:style w:type="character" w:styleId="ListLabel1564" w:customStyle="1">
    <w:name w:val="ListLabel 1564"/>
    <w:qFormat/>
    <w:rPr>
      <w:rFonts w:cs="Symbol"/>
      <w:sz w:val="20"/>
    </w:rPr>
  </w:style>
  <w:style w:type="character" w:styleId="ListLabel1565" w:customStyle="1">
    <w:name w:val="ListLabel 1565"/>
    <w:qFormat/>
    <w:rPr>
      <w:rFonts w:cs="Courier New"/>
    </w:rPr>
  </w:style>
  <w:style w:type="character" w:styleId="ListLabel1566" w:customStyle="1">
    <w:name w:val="ListLabel 1566"/>
    <w:qFormat/>
    <w:rPr>
      <w:rFonts w:cs="Wingdings"/>
    </w:rPr>
  </w:style>
  <w:style w:type="character" w:styleId="ListLabel1567" w:customStyle="1">
    <w:name w:val="ListLabel 1567"/>
    <w:qFormat/>
    <w:rPr>
      <w:rFonts w:cs="Symbol"/>
    </w:rPr>
  </w:style>
  <w:style w:type="character" w:styleId="ListLabel1568" w:customStyle="1">
    <w:name w:val="ListLabel 1568"/>
    <w:qFormat/>
    <w:rPr>
      <w:rFonts w:cs="Courier New"/>
    </w:rPr>
  </w:style>
  <w:style w:type="character" w:styleId="ListLabel1569" w:customStyle="1">
    <w:name w:val="ListLabel 1569"/>
    <w:qFormat/>
    <w:rPr>
      <w:rFonts w:cs="Wingdings"/>
    </w:rPr>
  </w:style>
  <w:style w:type="character" w:styleId="ListLabel1570" w:customStyle="1">
    <w:name w:val="ListLabel 1570"/>
    <w:qFormat/>
    <w:rPr>
      <w:rFonts w:cs="Symbol"/>
    </w:rPr>
  </w:style>
  <w:style w:type="character" w:styleId="ListLabel1571" w:customStyle="1">
    <w:name w:val="ListLabel 1571"/>
    <w:qFormat/>
    <w:rPr>
      <w:rFonts w:cs="Courier New"/>
    </w:rPr>
  </w:style>
  <w:style w:type="character" w:styleId="ListLabel1572" w:customStyle="1">
    <w:name w:val="ListLabel 1572"/>
    <w:qFormat/>
    <w:rPr>
      <w:rFonts w:cs="Wingdings"/>
    </w:rPr>
  </w:style>
  <w:style w:type="character" w:styleId="ListLabel1573" w:customStyle="1">
    <w:name w:val="ListLabel 1573"/>
    <w:qFormat/>
    <w:rPr>
      <w:rFonts w:cs="OpenSymbol"/>
    </w:rPr>
  </w:style>
  <w:style w:type="character" w:styleId="ListLabel1574" w:customStyle="1">
    <w:name w:val="ListLabel 1574"/>
    <w:qFormat/>
    <w:rPr>
      <w:rFonts w:cs="OpenSymbol"/>
    </w:rPr>
  </w:style>
  <w:style w:type="character" w:styleId="ListLabel1575" w:customStyle="1">
    <w:name w:val="ListLabel 1575"/>
    <w:qFormat/>
    <w:rPr>
      <w:rFonts w:cs="OpenSymbol"/>
    </w:rPr>
  </w:style>
  <w:style w:type="character" w:styleId="ListLabel1576" w:customStyle="1">
    <w:name w:val="ListLabel 1576"/>
    <w:qFormat/>
    <w:rPr>
      <w:rFonts w:cs="OpenSymbol"/>
    </w:rPr>
  </w:style>
  <w:style w:type="character" w:styleId="ListLabel1577" w:customStyle="1">
    <w:name w:val="ListLabel 1577"/>
    <w:qFormat/>
    <w:rPr>
      <w:rFonts w:cs="OpenSymbol"/>
    </w:rPr>
  </w:style>
  <w:style w:type="character" w:styleId="ListLabel1578" w:customStyle="1">
    <w:name w:val="ListLabel 1578"/>
    <w:qFormat/>
    <w:rPr>
      <w:rFonts w:cs="OpenSymbol"/>
    </w:rPr>
  </w:style>
  <w:style w:type="character" w:styleId="ListLabel1579" w:customStyle="1">
    <w:name w:val="ListLabel 1579"/>
    <w:qFormat/>
    <w:rPr>
      <w:rFonts w:cs="OpenSymbol"/>
    </w:rPr>
  </w:style>
  <w:style w:type="character" w:styleId="ListLabel1580" w:customStyle="1">
    <w:name w:val="ListLabel 1580"/>
    <w:qFormat/>
    <w:rPr>
      <w:rFonts w:cs="OpenSymbol"/>
    </w:rPr>
  </w:style>
  <w:style w:type="character" w:styleId="ListLabel1581" w:customStyle="1">
    <w:name w:val="ListLabel 1581"/>
    <w:qFormat/>
    <w:rPr>
      <w:rFonts w:cs="OpenSymbol"/>
    </w:rPr>
  </w:style>
  <w:style w:type="character" w:styleId="ListLabel1582" w:customStyle="1">
    <w:name w:val="ListLabel 1582"/>
    <w:qFormat/>
    <w:rPr>
      <w:rFonts w:cs="OpenSymbol"/>
    </w:rPr>
  </w:style>
  <w:style w:type="character" w:styleId="ListLabel1583" w:customStyle="1">
    <w:name w:val="ListLabel 1583"/>
    <w:qFormat/>
    <w:rPr>
      <w:rFonts w:cs="OpenSymbol"/>
    </w:rPr>
  </w:style>
  <w:style w:type="character" w:styleId="ListLabel1584" w:customStyle="1">
    <w:name w:val="ListLabel 1584"/>
    <w:qFormat/>
    <w:rPr>
      <w:rFonts w:cs="OpenSymbol"/>
    </w:rPr>
  </w:style>
  <w:style w:type="character" w:styleId="ListLabel1585" w:customStyle="1">
    <w:name w:val="ListLabel 1585"/>
    <w:qFormat/>
    <w:rPr>
      <w:rFonts w:cs="OpenSymbol"/>
    </w:rPr>
  </w:style>
  <w:style w:type="character" w:styleId="ListLabel1586" w:customStyle="1">
    <w:name w:val="ListLabel 1586"/>
    <w:qFormat/>
    <w:rPr>
      <w:rFonts w:cs="OpenSymbol"/>
    </w:rPr>
  </w:style>
  <w:style w:type="character" w:styleId="ListLabel1587" w:customStyle="1">
    <w:name w:val="ListLabel 1587"/>
    <w:qFormat/>
    <w:rPr>
      <w:rFonts w:cs="OpenSymbol"/>
    </w:rPr>
  </w:style>
  <w:style w:type="character" w:styleId="ListLabel1588" w:customStyle="1">
    <w:name w:val="ListLabel 1588"/>
    <w:qFormat/>
    <w:rPr>
      <w:rFonts w:cs="OpenSymbol"/>
    </w:rPr>
  </w:style>
  <w:style w:type="character" w:styleId="ListLabel1589" w:customStyle="1">
    <w:name w:val="ListLabel 1589"/>
    <w:qFormat/>
    <w:rPr>
      <w:rFonts w:cs="OpenSymbol"/>
    </w:rPr>
  </w:style>
  <w:style w:type="character" w:styleId="ListLabel1590" w:customStyle="1">
    <w:name w:val="ListLabel 1590"/>
    <w:qFormat/>
    <w:rPr>
      <w:rFonts w:cs="OpenSymbol"/>
    </w:rPr>
  </w:style>
  <w:style w:type="character" w:styleId="ListLabel1591" w:customStyle="1">
    <w:name w:val="ListLabel 1591"/>
    <w:qFormat/>
    <w:rPr>
      <w:rFonts w:cs="OpenSymbol"/>
    </w:rPr>
  </w:style>
  <w:style w:type="character" w:styleId="ListLabel1592" w:customStyle="1">
    <w:name w:val="ListLabel 1592"/>
    <w:qFormat/>
    <w:rPr>
      <w:rFonts w:cs="OpenSymbol"/>
    </w:rPr>
  </w:style>
  <w:style w:type="character" w:styleId="ListLabel1593" w:customStyle="1">
    <w:name w:val="ListLabel 1593"/>
    <w:qFormat/>
    <w:rPr>
      <w:rFonts w:cs="OpenSymbol"/>
    </w:rPr>
  </w:style>
  <w:style w:type="character" w:styleId="ListLabel1594" w:customStyle="1">
    <w:name w:val="ListLabel 1594"/>
    <w:qFormat/>
    <w:rPr>
      <w:rFonts w:cs="OpenSymbol"/>
    </w:rPr>
  </w:style>
  <w:style w:type="character" w:styleId="ListLabel1595" w:customStyle="1">
    <w:name w:val="ListLabel 1595"/>
    <w:qFormat/>
    <w:rPr>
      <w:rFonts w:cs="OpenSymbol"/>
    </w:rPr>
  </w:style>
  <w:style w:type="character" w:styleId="ListLabel1596" w:customStyle="1">
    <w:name w:val="ListLabel 1596"/>
    <w:qFormat/>
    <w:rPr>
      <w:rFonts w:cs="OpenSymbol"/>
    </w:rPr>
  </w:style>
  <w:style w:type="character" w:styleId="ListLabel1597" w:customStyle="1">
    <w:name w:val="ListLabel 1597"/>
    <w:qFormat/>
    <w:rPr>
      <w:rFonts w:cs="OpenSymbol"/>
    </w:rPr>
  </w:style>
  <w:style w:type="character" w:styleId="ListLabel1598" w:customStyle="1">
    <w:name w:val="ListLabel 1598"/>
    <w:qFormat/>
    <w:rPr>
      <w:rFonts w:cs="OpenSymbol"/>
    </w:rPr>
  </w:style>
  <w:style w:type="character" w:styleId="ListLabel1599" w:customStyle="1">
    <w:name w:val="ListLabel 1599"/>
    <w:qFormat/>
    <w:rPr>
      <w:rFonts w:cs="OpenSymbol"/>
    </w:rPr>
  </w:style>
  <w:style w:type="character" w:styleId="ListLabel1600" w:customStyle="1">
    <w:name w:val="ListLabel 1600"/>
    <w:qFormat/>
    <w:rPr>
      <w:rFonts w:cs="OpenSymbol"/>
    </w:rPr>
  </w:style>
  <w:style w:type="character" w:styleId="ListLabel1601" w:customStyle="1">
    <w:name w:val="ListLabel 1601"/>
    <w:qFormat/>
    <w:rPr>
      <w:rFonts w:cs="OpenSymbol"/>
    </w:rPr>
  </w:style>
  <w:style w:type="character" w:styleId="ListLabel1602" w:customStyle="1">
    <w:name w:val="ListLabel 1602"/>
    <w:qFormat/>
    <w:rPr>
      <w:rFonts w:cs="OpenSymbol"/>
    </w:rPr>
  </w:style>
  <w:style w:type="character" w:styleId="ListLabel1603" w:customStyle="1">
    <w:name w:val="ListLabel 1603"/>
    <w:qFormat/>
    <w:rPr>
      <w:rFonts w:cs="OpenSymbol"/>
    </w:rPr>
  </w:style>
  <w:style w:type="character" w:styleId="ListLabel1604" w:customStyle="1">
    <w:name w:val="ListLabel 1604"/>
    <w:qFormat/>
    <w:rPr>
      <w:rFonts w:cs="OpenSymbol"/>
    </w:rPr>
  </w:style>
  <w:style w:type="character" w:styleId="ListLabel1605" w:customStyle="1">
    <w:name w:val="ListLabel 1605"/>
    <w:qFormat/>
    <w:rPr>
      <w:rFonts w:cs="OpenSymbol"/>
    </w:rPr>
  </w:style>
  <w:style w:type="character" w:styleId="ListLabel1606" w:customStyle="1">
    <w:name w:val="ListLabel 1606"/>
    <w:qFormat/>
    <w:rPr>
      <w:rFonts w:cs="OpenSymbol"/>
    </w:rPr>
  </w:style>
  <w:style w:type="character" w:styleId="ListLabel1607" w:customStyle="1">
    <w:name w:val="ListLabel 1607"/>
    <w:qFormat/>
    <w:rPr>
      <w:rFonts w:cs="OpenSymbol"/>
    </w:rPr>
  </w:style>
  <w:style w:type="character" w:styleId="ListLabel1608" w:customStyle="1">
    <w:name w:val="ListLabel 1608"/>
    <w:qFormat/>
    <w:rPr>
      <w:rFonts w:cs="OpenSymbol"/>
    </w:rPr>
  </w:style>
  <w:style w:type="character" w:styleId="ListLabel1609" w:customStyle="1">
    <w:name w:val="ListLabel 1609"/>
    <w:qFormat/>
    <w:rPr>
      <w:rFonts w:cs="OpenSymbol"/>
    </w:rPr>
  </w:style>
  <w:style w:type="character" w:styleId="ListLabel1610" w:customStyle="1">
    <w:name w:val="ListLabel 1610"/>
    <w:qFormat/>
    <w:rPr>
      <w:rFonts w:cs="OpenSymbol"/>
    </w:rPr>
  </w:style>
  <w:style w:type="character" w:styleId="ListLabel1611" w:customStyle="1">
    <w:name w:val="ListLabel 1611"/>
    <w:qFormat/>
    <w:rPr>
      <w:rFonts w:cs="OpenSymbol"/>
    </w:rPr>
  </w:style>
  <w:style w:type="character" w:styleId="ListLabel1612" w:customStyle="1">
    <w:name w:val="ListLabel 1612"/>
    <w:qFormat/>
    <w:rPr>
      <w:rFonts w:cs="OpenSymbol"/>
    </w:rPr>
  </w:style>
  <w:style w:type="character" w:styleId="ListLabel1613" w:customStyle="1">
    <w:name w:val="ListLabel 1613"/>
    <w:qFormat/>
    <w:rPr>
      <w:rFonts w:cs="OpenSymbol"/>
    </w:rPr>
  </w:style>
  <w:style w:type="character" w:styleId="ListLabel1614" w:customStyle="1">
    <w:name w:val="ListLabel 1614"/>
    <w:qFormat/>
    <w:rPr>
      <w:rFonts w:cs="OpenSymbol"/>
    </w:rPr>
  </w:style>
  <w:style w:type="character" w:styleId="ListLabel1615" w:customStyle="1">
    <w:name w:val="ListLabel 1615"/>
    <w:qFormat/>
    <w:rPr>
      <w:rFonts w:cs="OpenSymbol"/>
    </w:rPr>
  </w:style>
  <w:style w:type="character" w:styleId="ListLabel1616" w:customStyle="1">
    <w:name w:val="ListLabel 1616"/>
    <w:qFormat/>
    <w:rPr>
      <w:rFonts w:cs="OpenSymbol"/>
    </w:rPr>
  </w:style>
  <w:style w:type="character" w:styleId="ListLabel1617" w:customStyle="1">
    <w:name w:val="ListLabel 1617"/>
    <w:qFormat/>
    <w:rPr>
      <w:rFonts w:cs="OpenSymbol"/>
    </w:rPr>
  </w:style>
  <w:style w:type="character" w:styleId="ListLabel1618" w:customStyle="1">
    <w:name w:val="ListLabel 1618"/>
    <w:qFormat/>
    <w:rPr>
      <w:rFonts w:cs="OpenSymbol"/>
    </w:rPr>
  </w:style>
  <w:style w:type="character" w:styleId="ListLabel1619" w:customStyle="1">
    <w:name w:val="ListLabel 1619"/>
    <w:qFormat/>
    <w:rPr>
      <w:rFonts w:cs="OpenSymbol"/>
    </w:rPr>
  </w:style>
  <w:style w:type="character" w:styleId="ListLabel1620" w:customStyle="1">
    <w:name w:val="ListLabel 1620"/>
    <w:qFormat/>
    <w:rPr>
      <w:rFonts w:cs="OpenSymbol"/>
    </w:rPr>
  </w:style>
  <w:style w:type="character" w:styleId="ListLabel1621" w:customStyle="1">
    <w:name w:val="ListLabel 1621"/>
    <w:qFormat/>
    <w:rPr>
      <w:rFonts w:cs="OpenSymbol"/>
    </w:rPr>
  </w:style>
  <w:style w:type="character" w:styleId="ListLabel1622" w:customStyle="1">
    <w:name w:val="ListLabel 1622"/>
    <w:qFormat/>
    <w:rPr>
      <w:rFonts w:cs="OpenSymbol"/>
    </w:rPr>
  </w:style>
  <w:style w:type="character" w:styleId="ListLabel1623" w:customStyle="1">
    <w:name w:val="ListLabel 1623"/>
    <w:qFormat/>
    <w:rPr>
      <w:rFonts w:cs="OpenSymbol"/>
    </w:rPr>
  </w:style>
  <w:style w:type="character" w:styleId="ListLabel1624" w:customStyle="1">
    <w:name w:val="ListLabel 1624"/>
    <w:qFormat/>
    <w:rPr>
      <w:rFonts w:cs="OpenSymbol"/>
    </w:rPr>
  </w:style>
  <w:style w:type="character" w:styleId="ListLabel1625" w:customStyle="1">
    <w:name w:val="ListLabel 1625"/>
    <w:qFormat/>
    <w:rPr>
      <w:rFonts w:cs="OpenSymbol"/>
    </w:rPr>
  </w:style>
  <w:style w:type="character" w:styleId="ListLabel1626" w:customStyle="1">
    <w:name w:val="ListLabel 1626"/>
    <w:qFormat/>
    <w:rPr>
      <w:rFonts w:cs="OpenSymbol"/>
    </w:rPr>
  </w:style>
  <w:style w:type="character" w:styleId="ListLabel1627" w:customStyle="1">
    <w:name w:val="ListLabel 1627"/>
    <w:qFormat/>
    <w:rPr>
      <w:rFonts w:cs="OpenSymbol"/>
    </w:rPr>
  </w:style>
  <w:style w:type="character" w:styleId="ListLabel1628" w:customStyle="1">
    <w:name w:val="ListLabel 1628"/>
    <w:qFormat/>
    <w:rPr>
      <w:rFonts w:cs="OpenSymbol"/>
    </w:rPr>
  </w:style>
  <w:style w:type="character" w:styleId="ListLabel1629" w:customStyle="1">
    <w:name w:val="ListLabel 1629"/>
    <w:qFormat/>
    <w:rPr>
      <w:rFonts w:cs="OpenSymbol"/>
    </w:rPr>
  </w:style>
  <w:style w:type="character" w:styleId="ListLabel1630" w:customStyle="1">
    <w:name w:val="ListLabel 1630"/>
    <w:qFormat/>
    <w:rPr>
      <w:rFonts w:cs="OpenSymbol"/>
    </w:rPr>
  </w:style>
  <w:style w:type="character" w:styleId="ListLabel1631" w:customStyle="1">
    <w:name w:val="ListLabel 1631"/>
    <w:qFormat/>
    <w:rPr>
      <w:rFonts w:cs="OpenSymbol"/>
    </w:rPr>
  </w:style>
  <w:style w:type="character" w:styleId="ListLabel1632" w:customStyle="1">
    <w:name w:val="ListLabel 1632"/>
    <w:qFormat/>
    <w:rPr>
      <w:rFonts w:cs="OpenSymbol"/>
    </w:rPr>
  </w:style>
  <w:style w:type="character" w:styleId="ListLabel1633" w:customStyle="1">
    <w:name w:val="ListLabel 1633"/>
    <w:qFormat/>
    <w:rPr>
      <w:rFonts w:cs="OpenSymbol"/>
    </w:rPr>
  </w:style>
  <w:style w:type="character" w:styleId="ListLabel1634" w:customStyle="1">
    <w:name w:val="ListLabel 1634"/>
    <w:qFormat/>
    <w:rPr>
      <w:rFonts w:cs="OpenSymbol"/>
    </w:rPr>
  </w:style>
  <w:style w:type="character" w:styleId="ListLabel1635" w:customStyle="1">
    <w:name w:val="ListLabel 1635"/>
    <w:qFormat/>
    <w:rPr>
      <w:rFonts w:cs="OpenSymbol"/>
    </w:rPr>
  </w:style>
  <w:style w:type="character" w:styleId="ListLabel1636" w:customStyle="1">
    <w:name w:val="ListLabel 1636"/>
    <w:qFormat/>
    <w:rPr>
      <w:szCs w:val="20"/>
    </w:rPr>
  </w:style>
  <w:style w:type="character" w:styleId="ListLabel1637" w:customStyle="1">
    <w:name w:val="ListLabel 1637"/>
    <w:qFormat/>
    <w:rPr>
      <w:szCs w:val="20"/>
      <w:u w:val="none"/>
    </w:rPr>
  </w:style>
  <w:style w:type="character" w:styleId="ListLabel1638" w:customStyle="1">
    <w:name w:val="ListLabel 1638"/>
    <w:qFormat/>
    <w:rPr/>
  </w:style>
  <w:style w:type="character" w:styleId="ListLabel1639" w:customStyle="1">
    <w:name w:val="ListLabel 1639"/>
    <w:qFormat/>
    <w:rPr>
      <w:sz w:val="20"/>
      <w:szCs w:val="20"/>
      <w:u w:val="none"/>
    </w:rPr>
  </w:style>
  <w:style w:type="character" w:styleId="ListLabel1640" w:customStyle="1">
    <w:name w:val="ListLabel 1640"/>
    <w:qFormat/>
    <w:rPr/>
  </w:style>
  <w:style w:type="character" w:styleId="ListLabel1641" w:customStyle="1">
    <w:name w:val="ListLabel 1641"/>
    <w:qFormat/>
    <w:rPr/>
  </w:style>
  <w:style w:type="character" w:styleId="ListLabel1642" w:customStyle="1">
    <w:name w:val="ListLabel 1642"/>
    <w:qFormat/>
    <w:rPr>
      <w:rFonts w:cs="OpenSymbol"/>
      <w:sz w:val="20"/>
    </w:rPr>
  </w:style>
  <w:style w:type="character" w:styleId="ListLabel1643" w:customStyle="1">
    <w:name w:val="ListLabel 1643"/>
    <w:qFormat/>
    <w:rPr>
      <w:rFonts w:cs="OpenSymbol;Arial Unicode MS"/>
      <w:lang w:val="nl-NL"/>
    </w:rPr>
  </w:style>
  <w:style w:type="character" w:styleId="ListLabel1644" w:customStyle="1">
    <w:name w:val="ListLabel 1644"/>
    <w:qFormat/>
    <w:rPr>
      <w:rFonts w:cs="OpenSymbol;Arial Unicode MS"/>
      <w:lang w:val="nl-NL"/>
    </w:rPr>
  </w:style>
  <w:style w:type="character" w:styleId="ListLabel1645" w:customStyle="1">
    <w:name w:val="ListLabel 1645"/>
    <w:qFormat/>
    <w:rPr>
      <w:rFonts w:cs="OpenSymbol;Arial Unicode MS"/>
      <w:lang w:val="nl-NL"/>
    </w:rPr>
  </w:style>
  <w:style w:type="character" w:styleId="ListLabel1646" w:customStyle="1">
    <w:name w:val="ListLabel 1646"/>
    <w:qFormat/>
    <w:rPr>
      <w:rFonts w:cs="OpenSymbol;Arial Unicode MS"/>
      <w:lang w:val="nl-NL"/>
    </w:rPr>
  </w:style>
  <w:style w:type="character" w:styleId="ListLabel1647" w:customStyle="1">
    <w:name w:val="ListLabel 1647"/>
    <w:qFormat/>
    <w:rPr>
      <w:rFonts w:cs="OpenSymbol;Arial Unicode MS"/>
      <w:lang w:val="nl-NL"/>
    </w:rPr>
  </w:style>
  <w:style w:type="character" w:styleId="ListLabel1648" w:customStyle="1">
    <w:name w:val="ListLabel 1648"/>
    <w:qFormat/>
    <w:rPr>
      <w:rFonts w:cs="OpenSymbol;Arial Unicode MS"/>
      <w:lang w:val="nl-NL"/>
    </w:rPr>
  </w:style>
  <w:style w:type="character" w:styleId="ListLabel1649" w:customStyle="1">
    <w:name w:val="ListLabel 1649"/>
    <w:qFormat/>
    <w:rPr>
      <w:rFonts w:cs="OpenSymbol;Arial Unicode MS"/>
      <w:lang w:val="nl-NL"/>
    </w:rPr>
  </w:style>
  <w:style w:type="character" w:styleId="ListLabel1650" w:customStyle="1">
    <w:name w:val="ListLabel 1650"/>
    <w:qFormat/>
    <w:rPr>
      <w:rFonts w:cs="OpenSymbol;Arial Unicode MS"/>
      <w:lang w:val="nl-NL"/>
    </w:rPr>
  </w:style>
  <w:style w:type="character" w:styleId="ListLabel1651" w:customStyle="1">
    <w:name w:val="ListLabel 1651"/>
    <w:qFormat/>
    <w:rPr>
      <w:rFonts w:cs="OpenSymbol"/>
      <w:sz w:val="20"/>
    </w:rPr>
  </w:style>
  <w:style w:type="character" w:styleId="ListLabel1652" w:customStyle="1">
    <w:name w:val="ListLabel 1652"/>
    <w:qFormat/>
    <w:rPr>
      <w:rFonts w:cs="OpenSymbol"/>
    </w:rPr>
  </w:style>
  <w:style w:type="character" w:styleId="ListLabel1653" w:customStyle="1">
    <w:name w:val="ListLabel 1653"/>
    <w:qFormat/>
    <w:rPr>
      <w:rFonts w:cs="OpenSymbol"/>
    </w:rPr>
  </w:style>
  <w:style w:type="character" w:styleId="ListLabel1654" w:customStyle="1">
    <w:name w:val="ListLabel 1654"/>
    <w:qFormat/>
    <w:rPr>
      <w:rFonts w:cs="OpenSymbol"/>
    </w:rPr>
  </w:style>
  <w:style w:type="character" w:styleId="ListLabel1655" w:customStyle="1">
    <w:name w:val="ListLabel 1655"/>
    <w:qFormat/>
    <w:rPr>
      <w:rFonts w:cs="OpenSymbol"/>
    </w:rPr>
  </w:style>
  <w:style w:type="character" w:styleId="ListLabel1656" w:customStyle="1">
    <w:name w:val="ListLabel 1656"/>
    <w:qFormat/>
    <w:rPr>
      <w:rFonts w:cs="OpenSymbol"/>
    </w:rPr>
  </w:style>
  <w:style w:type="character" w:styleId="ListLabel1657" w:customStyle="1">
    <w:name w:val="ListLabel 1657"/>
    <w:qFormat/>
    <w:rPr>
      <w:rFonts w:cs="OpenSymbol"/>
    </w:rPr>
  </w:style>
  <w:style w:type="character" w:styleId="ListLabel1658" w:customStyle="1">
    <w:name w:val="ListLabel 1658"/>
    <w:qFormat/>
    <w:rPr>
      <w:rFonts w:cs="OpenSymbol"/>
    </w:rPr>
  </w:style>
  <w:style w:type="character" w:styleId="ListLabel1659" w:customStyle="1">
    <w:name w:val="ListLabel 1659"/>
    <w:qFormat/>
    <w:rPr>
      <w:rFonts w:cs="OpenSymbol"/>
    </w:rPr>
  </w:style>
  <w:style w:type="character" w:styleId="ListLabel1660" w:customStyle="1">
    <w:name w:val="ListLabel 1660"/>
    <w:qFormat/>
    <w:rPr>
      <w:rFonts w:cs="OpenSymbol"/>
      <w:sz w:val="20"/>
    </w:rPr>
  </w:style>
  <w:style w:type="character" w:styleId="ListLabel1661" w:customStyle="1">
    <w:name w:val="ListLabel 1661"/>
    <w:qFormat/>
    <w:rPr>
      <w:rFonts w:cs="OpenSymbol"/>
    </w:rPr>
  </w:style>
  <w:style w:type="character" w:styleId="ListLabel1662" w:customStyle="1">
    <w:name w:val="ListLabel 1662"/>
    <w:qFormat/>
    <w:rPr>
      <w:rFonts w:cs="OpenSymbol"/>
    </w:rPr>
  </w:style>
  <w:style w:type="character" w:styleId="ListLabel1663" w:customStyle="1">
    <w:name w:val="ListLabel 1663"/>
    <w:qFormat/>
    <w:rPr>
      <w:rFonts w:cs="OpenSymbol"/>
    </w:rPr>
  </w:style>
  <w:style w:type="character" w:styleId="ListLabel1664" w:customStyle="1">
    <w:name w:val="ListLabel 1664"/>
    <w:qFormat/>
    <w:rPr>
      <w:rFonts w:cs="OpenSymbol"/>
    </w:rPr>
  </w:style>
  <w:style w:type="character" w:styleId="ListLabel1665" w:customStyle="1">
    <w:name w:val="ListLabel 1665"/>
    <w:qFormat/>
    <w:rPr>
      <w:rFonts w:cs="OpenSymbol"/>
    </w:rPr>
  </w:style>
  <w:style w:type="character" w:styleId="ListLabel1666" w:customStyle="1">
    <w:name w:val="ListLabel 1666"/>
    <w:qFormat/>
    <w:rPr>
      <w:rFonts w:cs="OpenSymbol"/>
    </w:rPr>
  </w:style>
  <w:style w:type="character" w:styleId="ListLabel1667" w:customStyle="1">
    <w:name w:val="ListLabel 1667"/>
    <w:qFormat/>
    <w:rPr>
      <w:rFonts w:cs="OpenSymbol"/>
    </w:rPr>
  </w:style>
  <w:style w:type="character" w:styleId="ListLabel1668" w:customStyle="1">
    <w:name w:val="ListLabel 1668"/>
    <w:qFormat/>
    <w:rPr>
      <w:rFonts w:cs="OpenSymbol"/>
    </w:rPr>
  </w:style>
  <w:style w:type="character" w:styleId="ListLabel1669" w:customStyle="1">
    <w:name w:val="ListLabel 1669"/>
    <w:qFormat/>
    <w:rPr>
      <w:rFonts w:cs="OpenSymbol"/>
      <w:sz w:val="20"/>
    </w:rPr>
  </w:style>
  <w:style w:type="character" w:styleId="ListLabel1670" w:customStyle="1">
    <w:name w:val="ListLabel 1670"/>
    <w:qFormat/>
    <w:rPr>
      <w:rFonts w:cs="OpenSymbol"/>
    </w:rPr>
  </w:style>
  <w:style w:type="character" w:styleId="ListLabel1671" w:customStyle="1">
    <w:name w:val="ListLabel 1671"/>
    <w:qFormat/>
    <w:rPr>
      <w:rFonts w:cs="OpenSymbol"/>
    </w:rPr>
  </w:style>
  <w:style w:type="character" w:styleId="ListLabel1672" w:customStyle="1">
    <w:name w:val="ListLabel 1672"/>
    <w:qFormat/>
    <w:rPr>
      <w:rFonts w:cs="OpenSymbol"/>
    </w:rPr>
  </w:style>
  <w:style w:type="character" w:styleId="ListLabel1673" w:customStyle="1">
    <w:name w:val="ListLabel 1673"/>
    <w:qFormat/>
    <w:rPr>
      <w:rFonts w:cs="OpenSymbol"/>
    </w:rPr>
  </w:style>
  <w:style w:type="character" w:styleId="ListLabel1674" w:customStyle="1">
    <w:name w:val="ListLabel 1674"/>
    <w:qFormat/>
    <w:rPr>
      <w:rFonts w:cs="OpenSymbol"/>
    </w:rPr>
  </w:style>
  <w:style w:type="character" w:styleId="ListLabel1675" w:customStyle="1">
    <w:name w:val="ListLabel 1675"/>
    <w:qFormat/>
    <w:rPr>
      <w:rFonts w:cs="OpenSymbol"/>
    </w:rPr>
  </w:style>
  <w:style w:type="character" w:styleId="ListLabel1676" w:customStyle="1">
    <w:name w:val="ListLabel 1676"/>
    <w:qFormat/>
    <w:rPr>
      <w:rFonts w:cs="OpenSymbol"/>
    </w:rPr>
  </w:style>
  <w:style w:type="character" w:styleId="ListLabel1677" w:customStyle="1">
    <w:name w:val="ListLabel 1677"/>
    <w:qFormat/>
    <w:rPr>
      <w:rFonts w:cs="OpenSymbol"/>
    </w:rPr>
  </w:style>
  <w:style w:type="character" w:styleId="ListLabel1678" w:customStyle="1">
    <w:name w:val="ListLabel 1678"/>
    <w:qFormat/>
    <w:rPr>
      <w:rFonts w:cs="OpenSymbol"/>
      <w:sz w:val="20"/>
    </w:rPr>
  </w:style>
  <w:style w:type="character" w:styleId="ListLabel1679" w:customStyle="1">
    <w:name w:val="ListLabel 1679"/>
    <w:qFormat/>
    <w:rPr>
      <w:rFonts w:cs="OpenSymbol"/>
    </w:rPr>
  </w:style>
  <w:style w:type="character" w:styleId="ListLabel1680" w:customStyle="1">
    <w:name w:val="ListLabel 1680"/>
    <w:qFormat/>
    <w:rPr>
      <w:rFonts w:cs="OpenSymbol"/>
    </w:rPr>
  </w:style>
  <w:style w:type="character" w:styleId="ListLabel1681" w:customStyle="1">
    <w:name w:val="ListLabel 1681"/>
    <w:qFormat/>
    <w:rPr>
      <w:rFonts w:cs="OpenSymbol"/>
    </w:rPr>
  </w:style>
  <w:style w:type="character" w:styleId="ListLabel1682" w:customStyle="1">
    <w:name w:val="ListLabel 1682"/>
    <w:qFormat/>
    <w:rPr>
      <w:rFonts w:cs="OpenSymbol"/>
    </w:rPr>
  </w:style>
  <w:style w:type="character" w:styleId="ListLabel1683" w:customStyle="1">
    <w:name w:val="ListLabel 1683"/>
    <w:qFormat/>
    <w:rPr>
      <w:rFonts w:cs="OpenSymbol"/>
    </w:rPr>
  </w:style>
  <w:style w:type="character" w:styleId="ListLabel1684" w:customStyle="1">
    <w:name w:val="ListLabel 1684"/>
    <w:qFormat/>
    <w:rPr>
      <w:rFonts w:cs="OpenSymbol"/>
    </w:rPr>
  </w:style>
  <w:style w:type="character" w:styleId="ListLabel1685" w:customStyle="1">
    <w:name w:val="ListLabel 1685"/>
    <w:qFormat/>
    <w:rPr>
      <w:rFonts w:cs="OpenSymbol"/>
    </w:rPr>
  </w:style>
  <w:style w:type="character" w:styleId="ListLabel1686" w:customStyle="1">
    <w:name w:val="ListLabel 1686"/>
    <w:qFormat/>
    <w:rPr>
      <w:rFonts w:cs="OpenSymbol"/>
    </w:rPr>
  </w:style>
  <w:style w:type="character" w:styleId="ListLabel1687" w:customStyle="1">
    <w:name w:val="ListLabel 1687"/>
    <w:qFormat/>
    <w:rPr>
      <w:rFonts w:cs="OpenSymbol"/>
      <w:sz w:val="20"/>
    </w:rPr>
  </w:style>
  <w:style w:type="character" w:styleId="ListLabel1688" w:customStyle="1">
    <w:name w:val="ListLabel 1688"/>
    <w:qFormat/>
    <w:rPr>
      <w:rFonts w:cs="OpenSymbol"/>
    </w:rPr>
  </w:style>
  <w:style w:type="character" w:styleId="ListLabel1689" w:customStyle="1">
    <w:name w:val="ListLabel 1689"/>
    <w:qFormat/>
    <w:rPr>
      <w:rFonts w:cs="OpenSymbol"/>
    </w:rPr>
  </w:style>
  <w:style w:type="character" w:styleId="ListLabel1690" w:customStyle="1">
    <w:name w:val="ListLabel 1690"/>
    <w:qFormat/>
    <w:rPr>
      <w:rFonts w:cs="OpenSymbol"/>
    </w:rPr>
  </w:style>
  <w:style w:type="character" w:styleId="ListLabel1691" w:customStyle="1">
    <w:name w:val="ListLabel 1691"/>
    <w:qFormat/>
    <w:rPr>
      <w:rFonts w:cs="OpenSymbol"/>
    </w:rPr>
  </w:style>
  <w:style w:type="character" w:styleId="ListLabel1692" w:customStyle="1">
    <w:name w:val="ListLabel 1692"/>
    <w:qFormat/>
    <w:rPr>
      <w:rFonts w:cs="OpenSymbol"/>
    </w:rPr>
  </w:style>
  <w:style w:type="character" w:styleId="ListLabel1693" w:customStyle="1">
    <w:name w:val="ListLabel 1693"/>
    <w:qFormat/>
    <w:rPr>
      <w:rFonts w:cs="OpenSymbol"/>
    </w:rPr>
  </w:style>
  <w:style w:type="character" w:styleId="ListLabel1694" w:customStyle="1">
    <w:name w:val="ListLabel 1694"/>
    <w:qFormat/>
    <w:rPr>
      <w:rFonts w:cs="OpenSymbol"/>
    </w:rPr>
  </w:style>
  <w:style w:type="character" w:styleId="ListLabel1695" w:customStyle="1">
    <w:name w:val="ListLabel 1695"/>
    <w:qFormat/>
    <w:rPr>
      <w:rFonts w:cs="OpenSymbol"/>
    </w:rPr>
  </w:style>
  <w:style w:type="character" w:styleId="ListLabel1696" w:customStyle="1">
    <w:name w:val="ListLabel 1696"/>
    <w:qFormat/>
    <w:rPr>
      <w:rFonts w:cs="OpenSymbol"/>
      <w:sz w:val="20"/>
    </w:rPr>
  </w:style>
  <w:style w:type="character" w:styleId="ListLabel1697" w:customStyle="1">
    <w:name w:val="ListLabel 1697"/>
    <w:qFormat/>
    <w:rPr>
      <w:rFonts w:cs="OpenSymbol"/>
    </w:rPr>
  </w:style>
  <w:style w:type="character" w:styleId="ListLabel1698" w:customStyle="1">
    <w:name w:val="ListLabel 1698"/>
    <w:qFormat/>
    <w:rPr>
      <w:rFonts w:cs="OpenSymbol"/>
    </w:rPr>
  </w:style>
  <w:style w:type="character" w:styleId="ListLabel1699" w:customStyle="1">
    <w:name w:val="ListLabel 1699"/>
    <w:qFormat/>
    <w:rPr>
      <w:rFonts w:cs="OpenSymbol"/>
    </w:rPr>
  </w:style>
  <w:style w:type="character" w:styleId="ListLabel1700" w:customStyle="1">
    <w:name w:val="ListLabel 1700"/>
    <w:qFormat/>
    <w:rPr>
      <w:rFonts w:cs="OpenSymbol"/>
    </w:rPr>
  </w:style>
  <w:style w:type="character" w:styleId="ListLabel1701" w:customStyle="1">
    <w:name w:val="ListLabel 1701"/>
    <w:qFormat/>
    <w:rPr>
      <w:rFonts w:cs="OpenSymbol"/>
    </w:rPr>
  </w:style>
  <w:style w:type="character" w:styleId="ListLabel1702" w:customStyle="1">
    <w:name w:val="ListLabel 1702"/>
    <w:qFormat/>
    <w:rPr>
      <w:rFonts w:cs="OpenSymbol"/>
    </w:rPr>
  </w:style>
  <w:style w:type="character" w:styleId="ListLabel1703" w:customStyle="1">
    <w:name w:val="ListLabel 1703"/>
    <w:qFormat/>
    <w:rPr>
      <w:rFonts w:cs="OpenSymbol"/>
    </w:rPr>
  </w:style>
  <w:style w:type="character" w:styleId="ListLabel1704" w:customStyle="1">
    <w:name w:val="ListLabel 1704"/>
    <w:qFormat/>
    <w:rPr>
      <w:rFonts w:cs="OpenSymbol"/>
    </w:rPr>
  </w:style>
  <w:style w:type="character" w:styleId="ListLabel1705" w:customStyle="1">
    <w:name w:val="ListLabel 1705"/>
    <w:qFormat/>
    <w:rPr>
      <w:rFonts w:cs="Times New Roman"/>
      <w:sz w:val="20"/>
    </w:rPr>
  </w:style>
  <w:style w:type="character" w:styleId="ListLabel1706" w:customStyle="1">
    <w:name w:val="ListLabel 1706"/>
    <w:qFormat/>
    <w:rPr>
      <w:rFonts w:cs="Courier New"/>
    </w:rPr>
  </w:style>
  <w:style w:type="character" w:styleId="ListLabel1707" w:customStyle="1">
    <w:name w:val="ListLabel 1707"/>
    <w:qFormat/>
    <w:rPr>
      <w:rFonts w:cs="Wingdings"/>
    </w:rPr>
  </w:style>
  <w:style w:type="character" w:styleId="ListLabel1708" w:customStyle="1">
    <w:name w:val="ListLabel 1708"/>
    <w:qFormat/>
    <w:rPr>
      <w:rFonts w:cs="Symbol"/>
    </w:rPr>
  </w:style>
  <w:style w:type="character" w:styleId="ListLabel1709" w:customStyle="1">
    <w:name w:val="ListLabel 1709"/>
    <w:qFormat/>
    <w:rPr>
      <w:rFonts w:cs="Courier New"/>
    </w:rPr>
  </w:style>
  <w:style w:type="character" w:styleId="ListLabel1710" w:customStyle="1">
    <w:name w:val="ListLabel 1710"/>
    <w:qFormat/>
    <w:rPr>
      <w:rFonts w:cs="Wingdings"/>
    </w:rPr>
  </w:style>
  <w:style w:type="character" w:styleId="ListLabel1711" w:customStyle="1">
    <w:name w:val="ListLabel 1711"/>
    <w:qFormat/>
    <w:rPr>
      <w:rFonts w:cs="Symbol"/>
    </w:rPr>
  </w:style>
  <w:style w:type="character" w:styleId="ListLabel1712" w:customStyle="1">
    <w:name w:val="ListLabel 1712"/>
    <w:qFormat/>
    <w:rPr>
      <w:rFonts w:cs="Courier New"/>
    </w:rPr>
  </w:style>
  <w:style w:type="character" w:styleId="ListLabel1713" w:customStyle="1">
    <w:name w:val="ListLabel 1713"/>
    <w:qFormat/>
    <w:rPr>
      <w:rFonts w:cs="Wingdings"/>
    </w:rPr>
  </w:style>
  <w:style w:type="character" w:styleId="ListLabel1714" w:customStyle="1">
    <w:name w:val="ListLabel 1714"/>
    <w:qFormat/>
    <w:rPr>
      <w:rFonts w:cs="OpenSymbol"/>
      <w:sz w:val="20"/>
    </w:rPr>
  </w:style>
  <w:style w:type="character" w:styleId="ListLabel1715" w:customStyle="1">
    <w:name w:val="ListLabel 1715"/>
    <w:qFormat/>
    <w:rPr>
      <w:rFonts w:cs="Courier New"/>
    </w:rPr>
  </w:style>
  <w:style w:type="character" w:styleId="ListLabel1716" w:customStyle="1">
    <w:name w:val="ListLabel 1716"/>
    <w:qFormat/>
    <w:rPr>
      <w:rFonts w:cs="Wingdings"/>
    </w:rPr>
  </w:style>
  <w:style w:type="character" w:styleId="ListLabel1717" w:customStyle="1">
    <w:name w:val="ListLabel 1717"/>
    <w:qFormat/>
    <w:rPr>
      <w:rFonts w:cs="Symbol"/>
    </w:rPr>
  </w:style>
  <w:style w:type="character" w:styleId="ListLabel1718" w:customStyle="1">
    <w:name w:val="ListLabel 1718"/>
    <w:qFormat/>
    <w:rPr>
      <w:rFonts w:cs="Courier New"/>
    </w:rPr>
  </w:style>
  <w:style w:type="character" w:styleId="ListLabel1719" w:customStyle="1">
    <w:name w:val="ListLabel 1719"/>
    <w:qFormat/>
    <w:rPr>
      <w:rFonts w:cs="Wingdings"/>
    </w:rPr>
  </w:style>
  <w:style w:type="character" w:styleId="ListLabel1720" w:customStyle="1">
    <w:name w:val="ListLabel 1720"/>
    <w:qFormat/>
    <w:rPr>
      <w:rFonts w:cs="Symbol"/>
    </w:rPr>
  </w:style>
  <w:style w:type="character" w:styleId="ListLabel1721" w:customStyle="1">
    <w:name w:val="ListLabel 1721"/>
    <w:qFormat/>
    <w:rPr>
      <w:rFonts w:cs="Courier New"/>
    </w:rPr>
  </w:style>
  <w:style w:type="character" w:styleId="ListLabel1722" w:customStyle="1">
    <w:name w:val="ListLabel 1722"/>
    <w:qFormat/>
    <w:rPr>
      <w:rFonts w:cs="Wingdings"/>
    </w:rPr>
  </w:style>
  <w:style w:type="character" w:styleId="ListLabel1723" w:customStyle="1">
    <w:name w:val="ListLabel 1723"/>
    <w:qFormat/>
    <w:rPr>
      <w:rFonts w:cs="Times New Roman"/>
      <w:sz w:val="20"/>
    </w:rPr>
  </w:style>
  <w:style w:type="character" w:styleId="ListLabel1724" w:customStyle="1">
    <w:name w:val="ListLabel 1724"/>
    <w:qFormat/>
    <w:rPr>
      <w:rFonts w:cs="Courier New"/>
    </w:rPr>
  </w:style>
  <w:style w:type="character" w:styleId="ListLabel1725" w:customStyle="1">
    <w:name w:val="ListLabel 1725"/>
    <w:qFormat/>
    <w:rPr>
      <w:rFonts w:cs="Wingdings"/>
    </w:rPr>
  </w:style>
  <w:style w:type="character" w:styleId="ListLabel1726" w:customStyle="1">
    <w:name w:val="ListLabel 1726"/>
    <w:qFormat/>
    <w:rPr>
      <w:rFonts w:cs="Symbol"/>
    </w:rPr>
  </w:style>
  <w:style w:type="character" w:styleId="ListLabel1727" w:customStyle="1">
    <w:name w:val="ListLabel 1727"/>
    <w:qFormat/>
    <w:rPr>
      <w:rFonts w:cs="Courier New"/>
    </w:rPr>
  </w:style>
  <w:style w:type="character" w:styleId="ListLabel1728" w:customStyle="1">
    <w:name w:val="ListLabel 1728"/>
    <w:qFormat/>
    <w:rPr>
      <w:rFonts w:cs="Wingdings"/>
    </w:rPr>
  </w:style>
  <w:style w:type="character" w:styleId="ListLabel1729" w:customStyle="1">
    <w:name w:val="ListLabel 1729"/>
    <w:qFormat/>
    <w:rPr>
      <w:rFonts w:cs="Symbol"/>
    </w:rPr>
  </w:style>
  <w:style w:type="character" w:styleId="ListLabel1730" w:customStyle="1">
    <w:name w:val="ListLabel 1730"/>
    <w:qFormat/>
    <w:rPr>
      <w:rFonts w:cs="Courier New"/>
    </w:rPr>
  </w:style>
  <w:style w:type="character" w:styleId="ListLabel1731" w:customStyle="1">
    <w:name w:val="ListLabel 1731"/>
    <w:qFormat/>
    <w:rPr>
      <w:rFonts w:cs="Wingdings"/>
    </w:rPr>
  </w:style>
  <w:style w:type="character" w:styleId="ListLabel1732" w:customStyle="1">
    <w:name w:val="ListLabel 1732"/>
    <w:qFormat/>
    <w:rPr>
      <w:rFonts w:cs="Symbol"/>
    </w:rPr>
  </w:style>
  <w:style w:type="character" w:styleId="ListLabel1733" w:customStyle="1">
    <w:name w:val="ListLabel 1733"/>
    <w:qFormat/>
    <w:rPr>
      <w:rFonts w:cs="Times New Roman"/>
      <w:sz w:val="20"/>
    </w:rPr>
  </w:style>
  <w:style w:type="character" w:styleId="ListLabel1734" w:customStyle="1">
    <w:name w:val="ListLabel 1734"/>
    <w:qFormat/>
    <w:rPr>
      <w:rFonts w:cs="Times New Roman"/>
      <w:sz w:val="16"/>
    </w:rPr>
  </w:style>
  <w:style w:type="character" w:styleId="ListLabel1735" w:customStyle="1">
    <w:name w:val="ListLabel 1735"/>
    <w:qFormat/>
    <w:rPr>
      <w:rFonts w:cs="Courier New"/>
    </w:rPr>
  </w:style>
  <w:style w:type="character" w:styleId="ListLabel1736" w:customStyle="1">
    <w:name w:val="ListLabel 1736"/>
    <w:qFormat/>
    <w:rPr>
      <w:rFonts w:cs="Wingdings"/>
    </w:rPr>
  </w:style>
  <w:style w:type="character" w:styleId="ListLabel1737" w:customStyle="1">
    <w:name w:val="ListLabel 1737"/>
    <w:qFormat/>
    <w:rPr>
      <w:rFonts w:cs="Symbol"/>
    </w:rPr>
  </w:style>
  <w:style w:type="character" w:styleId="ListLabel1738" w:customStyle="1">
    <w:name w:val="ListLabel 1738"/>
    <w:qFormat/>
    <w:rPr>
      <w:rFonts w:cs="Courier New"/>
    </w:rPr>
  </w:style>
  <w:style w:type="character" w:styleId="ListLabel1739" w:customStyle="1">
    <w:name w:val="ListLabel 1739"/>
    <w:qFormat/>
    <w:rPr>
      <w:rFonts w:cs="Wingdings"/>
    </w:rPr>
  </w:style>
  <w:style w:type="character" w:styleId="ListLabel1740" w:customStyle="1">
    <w:name w:val="ListLabel 1740"/>
    <w:qFormat/>
    <w:rPr>
      <w:rFonts w:cs="Symbol"/>
    </w:rPr>
  </w:style>
  <w:style w:type="character" w:styleId="ListLabel1741" w:customStyle="1">
    <w:name w:val="ListLabel 1741"/>
    <w:qFormat/>
    <w:rPr>
      <w:rFonts w:cs="Courier New"/>
    </w:rPr>
  </w:style>
  <w:style w:type="character" w:styleId="ListLabel1742" w:customStyle="1">
    <w:name w:val="ListLabel 1742"/>
    <w:qFormat/>
    <w:rPr>
      <w:rFonts w:cs="Wingdings"/>
    </w:rPr>
  </w:style>
  <w:style w:type="character" w:styleId="ListLabel1743" w:customStyle="1">
    <w:name w:val="ListLabel 1743"/>
    <w:qFormat/>
    <w:rPr>
      <w:rFonts w:cs="Symbol"/>
      <w:sz w:val="20"/>
    </w:rPr>
  </w:style>
  <w:style w:type="character" w:styleId="ListLabel1744" w:customStyle="1">
    <w:name w:val="ListLabel 1744"/>
    <w:qFormat/>
    <w:rPr>
      <w:rFonts w:cs="Courier New"/>
    </w:rPr>
  </w:style>
  <w:style w:type="character" w:styleId="ListLabel1745" w:customStyle="1">
    <w:name w:val="ListLabel 1745"/>
    <w:qFormat/>
    <w:rPr>
      <w:rFonts w:cs="Wingdings"/>
    </w:rPr>
  </w:style>
  <w:style w:type="character" w:styleId="ListLabel1746" w:customStyle="1">
    <w:name w:val="ListLabel 1746"/>
    <w:qFormat/>
    <w:rPr>
      <w:rFonts w:cs="Symbol"/>
    </w:rPr>
  </w:style>
  <w:style w:type="character" w:styleId="ListLabel1747" w:customStyle="1">
    <w:name w:val="ListLabel 1747"/>
    <w:qFormat/>
    <w:rPr>
      <w:rFonts w:cs="Courier New"/>
    </w:rPr>
  </w:style>
  <w:style w:type="character" w:styleId="ListLabel1748" w:customStyle="1">
    <w:name w:val="ListLabel 1748"/>
    <w:qFormat/>
    <w:rPr>
      <w:rFonts w:cs="Wingdings"/>
    </w:rPr>
  </w:style>
  <w:style w:type="character" w:styleId="ListLabel1749" w:customStyle="1">
    <w:name w:val="ListLabel 1749"/>
    <w:qFormat/>
    <w:rPr>
      <w:rFonts w:cs="Symbol"/>
    </w:rPr>
  </w:style>
  <w:style w:type="character" w:styleId="ListLabel1750" w:customStyle="1">
    <w:name w:val="ListLabel 1750"/>
    <w:qFormat/>
    <w:rPr>
      <w:rFonts w:cs="Courier New"/>
    </w:rPr>
  </w:style>
  <w:style w:type="character" w:styleId="ListLabel1751" w:customStyle="1">
    <w:name w:val="ListLabel 1751"/>
    <w:qFormat/>
    <w:rPr>
      <w:rFonts w:cs="Wingdings"/>
    </w:rPr>
  </w:style>
  <w:style w:type="character" w:styleId="ListLabel1752" w:customStyle="1">
    <w:name w:val="ListLabel 1752"/>
    <w:qFormat/>
    <w:rPr>
      <w:rFonts w:cs="OpenSymbol"/>
    </w:rPr>
  </w:style>
  <w:style w:type="character" w:styleId="ListLabel1753" w:customStyle="1">
    <w:name w:val="ListLabel 1753"/>
    <w:qFormat/>
    <w:rPr>
      <w:rFonts w:cs="OpenSymbol"/>
    </w:rPr>
  </w:style>
  <w:style w:type="character" w:styleId="ListLabel1754" w:customStyle="1">
    <w:name w:val="ListLabel 1754"/>
    <w:qFormat/>
    <w:rPr>
      <w:rFonts w:cs="OpenSymbol"/>
    </w:rPr>
  </w:style>
  <w:style w:type="character" w:styleId="ListLabel1755" w:customStyle="1">
    <w:name w:val="ListLabel 1755"/>
    <w:qFormat/>
    <w:rPr>
      <w:rFonts w:cs="OpenSymbol"/>
    </w:rPr>
  </w:style>
  <w:style w:type="character" w:styleId="ListLabel1756" w:customStyle="1">
    <w:name w:val="ListLabel 1756"/>
    <w:qFormat/>
    <w:rPr>
      <w:rFonts w:cs="OpenSymbol"/>
    </w:rPr>
  </w:style>
  <w:style w:type="character" w:styleId="ListLabel1757" w:customStyle="1">
    <w:name w:val="ListLabel 1757"/>
    <w:qFormat/>
    <w:rPr>
      <w:rFonts w:cs="OpenSymbol"/>
    </w:rPr>
  </w:style>
  <w:style w:type="character" w:styleId="ListLabel1758" w:customStyle="1">
    <w:name w:val="ListLabel 1758"/>
    <w:qFormat/>
    <w:rPr>
      <w:rFonts w:cs="OpenSymbol"/>
    </w:rPr>
  </w:style>
  <w:style w:type="character" w:styleId="ListLabel1759" w:customStyle="1">
    <w:name w:val="ListLabel 1759"/>
    <w:qFormat/>
    <w:rPr>
      <w:rFonts w:cs="OpenSymbol"/>
    </w:rPr>
  </w:style>
  <w:style w:type="character" w:styleId="ListLabel1760" w:customStyle="1">
    <w:name w:val="ListLabel 1760"/>
    <w:qFormat/>
    <w:rPr>
      <w:rFonts w:cs="OpenSymbol"/>
    </w:rPr>
  </w:style>
  <w:style w:type="character" w:styleId="ListLabel1761" w:customStyle="1">
    <w:name w:val="ListLabel 1761"/>
    <w:qFormat/>
    <w:rPr>
      <w:rFonts w:cs="OpenSymbol"/>
    </w:rPr>
  </w:style>
  <w:style w:type="character" w:styleId="ListLabel1762" w:customStyle="1">
    <w:name w:val="ListLabel 1762"/>
    <w:qFormat/>
    <w:rPr>
      <w:rFonts w:cs="OpenSymbol"/>
    </w:rPr>
  </w:style>
  <w:style w:type="character" w:styleId="ListLabel1763" w:customStyle="1">
    <w:name w:val="ListLabel 1763"/>
    <w:qFormat/>
    <w:rPr>
      <w:rFonts w:cs="OpenSymbol"/>
    </w:rPr>
  </w:style>
  <w:style w:type="character" w:styleId="ListLabel1764" w:customStyle="1">
    <w:name w:val="ListLabel 1764"/>
    <w:qFormat/>
    <w:rPr>
      <w:rFonts w:cs="OpenSymbol"/>
    </w:rPr>
  </w:style>
  <w:style w:type="character" w:styleId="ListLabel1765" w:customStyle="1">
    <w:name w:val="ListLabel 1765"/>
    <w:qFormat/>
    <w:rPr>
      <w:rFonts w:cs="OpenSymbol"/>
    </w:rPr>
  </w:style>
  <w:style w:type="character" w:styleId="ListLabel1766" w:customStyle="1">
    <w:name w:val="ListLabel 1766"/>
    <w:qFormat/>
    <w:rPr>
      <w:rFonts w:cs="OpenSymbol"/>
    </w:rPr>
  </w:style>
  <w:style w:type="character" w:styleId="ListLabel1767" w:customStyle="1">
    <w:name w:val="ListLabel 1767"/>
    <w:qFormat/>
    <w:rPr>
      <w:rFonts w:cs="OpenSymbol"/>
    </w:rPr>
  </w:style>
  <w:style w:type="character" w:styleId="ListLabel1768" w:customStyle="1">
    <w:name w:val="ListLabel 1768"/>
    <w:qFormat/>
    <w:rPr>
      <w:rFonts w:cs="OpenSymbol"/>
    </w:rPr>
  </w:style>
  <w:style w:type="character" w:styleId="ListLabel1769" w:customStyle="1">
    <w:name w:val="ListLabel 1769"/>
    <w:qFormat/>
    <w:rPr>
      <w:rFonts w:cs="OpenSymbol"/>
    </w:rPr>
  </w:style>
  <w:style w:type="character" w:styleId="ListLabel1770" w:customStyle="1">
    <w:name w:val="ListLabel 1770"/>
    <w:qFormat/>
    <w:rPr>
      <w:rFonts w:cs="OpenSymbol"/>
    </w:rPr>
  </w:style>
  <w:style w:type="character" w:styleId="ListLabel1771" w:customStyle="1">
    <w:name w:val="ListLabel 1771"/>
    <w:qFormat/>
    <w:rPr>
      <w:rFonts w:cs="OpenSymbol"/>
    </w:rPr>
  </w:style>
  <w:style w:type="character" w:styleId="ListLabel1772" w:customStyle="1">
    <w:name w:val="ListLabel 1772"/>
    <w:qFormat/>
    <w:rPr>
      <w:rFonts w:cs="OpenSymbol"/>
    </w:rPr>
  </w:style>
  <w:style w:type="character" w:styleId="ListLabel1773" w:customStyle="1">
    <w:name w:val="ListLabel 1773"/>
    <w:qFormat/>
    <w:rPr>
      <w:rFonts w:cs="OpenSymbol"/>
    </w:rPr>
  </w:style>
  <w:style w:type="character" w:styleId="ListLabel1774" w:customStyle="1">
    <w:name w:val="ListLabel 1774"/>
    <w:qFormat/>
    <w:rPr>
      <w:rFonts w:cs="OpenSymbol"/>
    </w:rPr>
  </w:style>
  <w:style w:type="character" w:styleId="ListLabel1775" w:customStyle="1">
    <w:name w:val="ListLabel 1775"/>
    <w:qFormat/>
    <w:rPr>
      <w:rFonts w:cs="OpenSymbol"/>
    </w:rPr>
  </w:style>
  <w:style w:type="character" w:styleId="ListLabel1776" w:customStyle="1">
    <w:name w:val="ListLabel 1776"/>
    <w:qFormat/>
    <w:rPr>
      <w:rFonts w:cs="OpenSymbol"/>
    </w:rPr>
  </w:style>
  <w:style w:type="character" w:styleId="ListLabel1777" w:customStyle="1">
    <w:name w:val="ListLabel 1777"/>
    <w:qFormat/>
    <w:rPr>
      <w:rFonts w:cs="OpenSymbol"/>
    </w:rPr>
  </w:style>
  <w:style w:type="character" w:styleId="ListLabel1778" w:customStyle="1">
    <w:name w:val="ListLabel 1778"/>
    <w:qFormat/>
    <w:rPr>
      <w:rFonts w:cs="OpenSymbol"/>
    </w:rPr>
  </w:style>
  <w:style w:type="character" w:styleId="ListLabel1779" w:customStyle="1">
    <w:name w:val="ListLabel 1779"/>
    <w:qFormat/>
    <w:rPr>
      <w:rFonts w:cs="OpenSymbol"/>
    </w:rPr>
  </w:style>
  <w:style w:type="character" w:styleId="ListLabel1780" w:customStyle="1">
    <w:name w:val="ListLabel 1780"/>
    <w:qFormat/>
    <w:rPr>
      <w:rFonts w:cs="OpenSymbol"/>
    </w:rPr>
  </w:style>
  <w:style w:type="character" w:styleId="ListLabel1781" w:customStyle="1">
    <w:name w:val="ListLabel 1781"/>
    <w:qFormat/>
    <w:rPr>
      <w:rFonts w:cs="OpenSymbol"/>
    </w:rPr>
  </w:style>
  <w:style w:type="character" w:styleId="ListLabel1782" w:customStyle="1">
    <w:name w:val="ListLabel 1782"/>
    <w:qFormat/>
    <w:rPr>
      <w:rFonts w:cs="OpenSymbol"/>
    </w:rPr>
  </w:style>
  <w:style w:type="character" w:styleId="ListLabel1783" w:customStyle="1">
    <w:name w:val="ListLabel 1783"/>
    <w:qFormat/>
    <w:rPr>
      <w:rFonts w:cs="OpenSymbol"/>
    </w:rPr>
  </w:style>
  <w:style w:type="character" w:styleId="ListLabel1784" w:customStyle="1">
    <w:name w:val="ListLabel 1784"/>
    <w:qFormat/>
    <w:rPr>
      <w:rFonts w:cs="OpenSymbol"/>
    </w:rPr>
  </w:style>
  <w:style w:type="character" w:styleId="ListLabel1785" w:customStyle="1">
    <w:name w:val="ListLabel 1785"/>
    <w:qFormat/>
    <w:rPr>
      <w:rFonts w:cs="OpenSymbol"/>
    </w:rPr>
  </w:style>
  <w:style w:type="character" w:styleId="ListLabel1786" w:customStyle="1">
    <w:name w:val="ListLabel 1786"/>
    <w:qFormat/>
    <w:rPr>
      <w:rFonts w:cs="OpenSymbol"/>
    </w:rPr>
  </w:style>
  <w:style w:type="character" w:styleId="ListLabel1787" w:customStyle="1">
    <w:name w:val="ListLabel 1787"/>
    <w:qFormat/>
    <w:rPr>
      <w:rFonts w:cs="OpenSymbol"/>
    </w:rPr>
  </w:style>
  <w:style w:type="character" w:styleId="ListLabel1788" w:customStyle="1">
    <w:name w:val="ListLabel 1788"/>
    <w:qFormat/>
    <w:rPr>
      <w:rFonts w:cs="OpenSymbol"/>
    </w:rPr>
  </w:style>
  <w:style w:type="character" w:styleId="ListLabel1789" w:customStyle="1">
    <w:name w:val="ListLabel 1789"/>
    <w:qFormat/>
    <w:rPr>
      <w:rFonts w:cs="OpenSymbol"/>
    </w:rPr>
  </w:style>
  <w:style w:type="character" w:styleId="ListLabel1790" w:customStyle="1">
    <w:name w:val="ListLabel 1790"/>
    <w:qFormat/>
    <w:rPr>
      <w:rFonts w:cs="OpenSymbol"/>
    </w:rPr>
  </w:style>
  <w:style w:type="character" w:styleId="ListLabel1791" w:customStyle="1">
    <w:name w:val="ListLabel 1791"/>
    <w:qFormat/>
    <w:rPr>
      <w:rFonts w:cs="OpenSymbol"/>
    </w:rPr>
  </w:style>
  <w:style w:type="character" w:styleId="ListLabel1792" w:customStyle="1">
    <w:name w:val="ListLabel 1792"/>
    <w:qFormat/>
    <w:rPr>
      <w:rFonts w:cs="OpenSymbol"/>
    </w:rPr>
  </w:style>
  <w:style w:type="character" w:styleId="ListLabel1793" w:customStyle="1">
    <w:name w:val="ListLabel 1793"/>
    <w:qFormat/>
    <w:rPr>
      <w:rFonts w:cs="OpenSymbol"/>
    </w:rPr>
  </w:style>
  <w:style w:type="character" w:styleId="ListLabel1794" w:customStyle="1">
    <w:name w:val="ListLabel 1794"/>
    <w:qFormat/>
    <w:rPr>
      <w:rFonts w:cs="OpenSymbol"/>
    </w:rPr>
  </w:style>
  <w:style w:type="character" w:styleId="ListLabel1795" w:customStyle="1">
    <w:name w:val="ListLabel 1795"/>
    <w:qFormat/>
    <w:rPr>
      <w:rFonts w:cs="OpenSymbol"/>
    </w:rPr>
  </w:style>
  <w:style w:type="character" w:styleId="ListLabel1796" w:customStyle="1">
    <w:name w:val="ListLabel 1796"/>
    <w:qFormat/>
    <w:rPr>
      <w:rFonts w:cs="OpenSymbol"/>
    </w:rPr>
  </w:style>
  <w:style w:type="character" w:styleId="ListLabel1797" w:customStyle="1">
    <w:name w:val="ListLabel 1797"/>
    <w:qFormat/>
    <w:rPr>
      <w:rFonts w:cs="OpenSymbol"/>
    </w:rPr>
  </w:style>
  <w:style w:type="character" w:styleId="ListLabel1798" w:customStyle="1">
    <w:name w:val="ListLabel 1798"/>
    <w:qFormat/>
    <w:rPr>
      <w:rFonts w:cs="OpenSymbol"/>
    </w:rPr>
  </w:style>
  <w:style w:type="character" w:styleId="ListLabel1799" w:customStyle="1">
    <w:name w:val="ListLabel 1799"/>
    <w:qFormat/>
    <w:rPr>
      <w:rFonts w:cs="OpenSymbol"/>
    </w:rPr>
  </w:style>
  <w:style w:type="character" w:styleId="ListLabel1800" w:customStyle="1">
    <w:name w:val="ListLabel 1800"/>
    <w:qFormat/>
    <w:rPr>
      <w:rFonts w:cs="OpenSymbol"/>
    </w:rPr>
  </w:style>
  <w:style w:type="character" w:styleId="ListLabel1801" w:customStyle="1">
    <w:name w:val="ListLabel 1801"/>
    <w:qFormat/>
    <w:rPr>
      <w:rFonts w:cs="OpenSymbol"/>
    </w:rPr>
  </w:style>
  <w:style w:type="character" w:styleId="ListLabel1802" w:customStyle="1">
    <w:name w:val="ListLabel 1802"/>
    <w:qFormat/>
    <w:rPr>
      <w:rFonts w:cs="OpenSymbol"/>
    </w:rPr>
  </w:style>
  <w:style w:type="character" w:styleId="ListLabel1803" w:customStyle="1">
    <w:name w:val="ListLabel 1803"/>
    <w:qFormat/>
    <w:rPr>
      <w:rFonts w:cs="OpenSymbol"/>
    </w:rPr>
  </w:style>
  <w:style w:type="character" w:styleId="ListLabel1804" w:customStyle="1">
    <w:name w:val="ListLabel 1804"/>
    <w:qFormat/>
    <w:rPr>
      <w:rFonts w:cs="OpenSymbol"/>
    </w:rPr>
  </w:style>
  <w:style w:type="character" w:styleId="ListLabel1805" w:customStyle="1">
    <w:name w:val="ListLabel 1805"/>
    <w:qFormat/>
    <w:rPr>
      <w:rFonts w:cs="OpenSymbol"/>
    </w:rPr>
  </w:style>
  <w:style w:type="character" w:styleId="ListLabel1806" w:customStyle="1">
    <w:name w:val="ListLabel 1806"/>
    <w:qFormat/>
    <w:rPr>
      <w:rFonts w:cs="OpenSymbol"/>
    </w:rPr>
  </w:style>
  <w:style w:type="character" w:styleId="ListLabel1807" w:customStyle="1">
    <w:name w:val="ListLabel 1807"/>
    <w:qFormat/>
    <w:rPr>
      <w:rFonts w:cs="OpenSymbol"/>
    </w:rPr>
  </w:style>
  <w:style w:type="character" w:styleId="ListLabel1808" w:customStyle="1">
    <w:name w:val="ListLabel 1808"/>
    <w:qFormat/>
    <w:rPr>
      <w:rFonts w:cs="OpenSymbol"/>
    </w:rPr>
  </w:style>
  <w:style w:type="character" w:styleId="ListLabel1809" w:customStyle="1">
    <w:name w:val="ListLabel 1809"/>
    <w:qFormat/>
    <w:rPr>
      <w:rFonts w:cs="OpenSymbol"/>
    </w:rPr>
  </w:style>
  <w:style w:type="character" w:styleId="ListLabel1810" w:customStyle="1">
    <w:name w:val="ListLabel 1810"/>
    <w:qFormat/>
    <w:rPr>
      <w:rFonts w:cs="OpenSymbol"/>
    </w:rPr>
  </w:style>
  <w:style w:type="character" w:styleId="ListLabel1811" w:customStyle="1">
    <w:name w:val="ListLabel 1811"/>
    <w:qFormat/>
    <w:rPr>
      <w:rFonts w:cs="OpenSymbol"/>
    </w:rPr>
  </w:style>
  <w:style w:type="character" w:styleId="ListLabel1812" w:customStyle="1">
    <w:name w:val="ListLabel 1812"/>
    <w:qFormat/>
    <w:rPr>
      <w:rFonts w:cs="OpenSymbol"/>
    </w:rPr>
  </w:style>
  <w:style w:type="character" w:styleId="ListLabel1813" w:customStyle="1">
    <w:name w:val="ListLabel 1813"/>
    <w:qFormat/>
    <w:rPr>
      <w:rFonts w:cs="OpenSymbol"/>
    </w:rPr>
  </w:style>
  <w:style w:type="character" w:styleId="ListLabel1814" w:customStyle="1">
    <w:name w:val="ListLabel 1814"/>
    <w:qFormat/>
    <w:rPr>
      <w:rFonts w:cs="OpenSymbol"/>
    </w:rPr>
  </w:style>
  <w:style w:type="character" w:styleId="ListLabel1815" w:customStyle="1">
    <w:name w:val="ListLabel 1815"/>
    <w:qFormat/>
    <w:rPr>
      <w:szCs w:val="20"/>
    </w:rPr>
  </w:style>
  <w:style w:type="character" w:styleId="ListLabel1816" w:customStyle="1">
    <w:name w:val="ListLabel 1816"/>
    <w:qFormat/>
    <w:rPr>
      <w:szCs w:val="20"/>
      <w:u w:val="none"/>
    </w:rPr>
  </w:style>
  <w:style w:type="character" w:styleId="ListLabel1817" w:customStyle="1">
    <w:name w:val="ListLabel 1817"/>
    <w:qFormat/>
    <w:rPr/>
  </w:style>
  <w:style w:type="character" w:styleId="ListLabel1818" w:customStyle="1">
    <w:name w:val="ListLabel 1818"/>
    <w:qFormat/>
    <w:rPr>
      <w:sz w:val="20"/>
      <w:szCs w:val="20"/>
      <w:u w:val="none"/>
    </w:rPr>
  </w:style>
  <w:style w:type="character" w:styleId="ListLabel1819" w:customStyle="1">
    <w:name w:val="ListLabel 1819"/>
    <w:qFormat/>
    <w:rPr/>
  </w:style>
  <w:style w:type="character" w:styleId="ListLabel1820" w:customStyle="1">
    <w:name w:val="ListLabel 1820"/>
    <w:qFormat/>
    <w:rPr/>
  </w:style>
  <w:style w:type="character" w:styleId="Kop4Char" w:customStyle="1">
    <w:name w:val="Kop 4 Char"/>
    <w:basedOn w:val="DefaultParagraphFont"/>
    <w:link w:val="Kop4"/>
    <w:uiPriority w:val="9"/>
    <w:semiHidden/>
    <w:qFormat/>
    <w:rsid w:val="003d19dc"/>
    <w:rPr>
      <w:rFonts w:ascii="Calibri Light" w:hAnsi="Calibri Light" w:eastAsia="" w:cs="Mangal" w:asciiTheme="majorHAnsi" w:eastAsiaTheme="majorEastAsia" w:hAnsiTheme="majorHAnsi"/>
      <w:b/>
      <w:bCs/>
      <w:i/>
      <w:iCs/>
      <w:color w:val="5B9BD5" w:themeColor="accent1"/>
    </w:rPr>
  </w:style>
  <w:style w:type="character" w:styleId="Kop5Char" w:customStyle="1">
    <w:name w:val="Kop 5 Char"/>
    <w:basedOn w:val="DefaultParagraphFont"/>
    <w:link w:val="Kop5"/>
    <w:uiPriority w:val="9"/>
    <w:semiHidden/>
    <w:qFormat/>
    <w:rsid w:val="003d19dc"/>
    <w:rPr>
      <w:rFonts w:ascii="Calibri Light" w:hAnsi="Calibri Light" w:eastAsia="" w:cs="Mangal" w:asciiTheme="majorHAnsi" w:eastAsiaTheme="majorEastAsia" w:hAnsiTheme="majorHAnsi"/>
      <w:color w:val="1F4D78" w:themeColor="accent1" w:themeShade="7f"/>
    </w:rPr>
  </w:style>
  <w:style w:type="character" w:styleId="Kop6Char" w:customStyle="1">
    <w:name w:val="Kop 6 Char"/>
    <w:basedOn w:val="DefaultParagraphFont"/>
    <w:link w:val="Kop6"/>
    <w:uiPriority w:val="9"/>
    <w:semiHidden/>
    <w:qFormat/>
    <w:rsid w:val="003d19dc"/>
    <w:rPr>
      <w:rFonts w:ascii="Calibri Light" w:hAnsi="Calibri Light" w:eastAsia="" w:cs="Mangal" w:asciiTheme="majorHAnsi" w:eastAsiaTheme="majorEastAsia" w:hAnsiTheme="majorHAnsi"/>
      <w:i/>
      <w:iCs/>
      <w:color w:val="1F4D78" w:themeColor="accent1" w:themeShade="7f"/>
    </w:rPr>
  </w:style>
  <w:style w:type="character" w:styleId="Kop7Char" w:customStyle="1">
    <w:name w:val="Kop 7 Char"/>
    <w:basedOn w:val="DefaultParagraphFont"/>
    <w:link w:val="Kop7"/>
    <w:uiPriority w:val="9"/>
    <w:semiHidden/>
    <w:qFormat/>
    <w:rsid w:val="003d19dc"/>
    <w:rPr>
      <w:rFonts w:ascii="Calibri Light" w:hAnsi="Calibri Light" w:eastAsia="" w:cs="Mangal" w:asciiTheme="majorHAnsi" w:eastAsiaTheme="majorEastAsia" w:hAnsiTheme="majorHAnsi"/>
      <w:i/>
      <w:iCs/>
      <w:color w:val="404040" w:themeColor="text1" w:themeTint="bf"/>
    </w:rPr>
  </w:style>
  <w:style w:type="character" w:styleId="Kop8Char" w:customStyle="1">
    <w:name w:val="Kop 8 Char"/>
    <w:basedOn w:val="DefaultParagraphFont"/>
    <w:link w:val="Kop8"/>
    <w:uiPriority w:val="9"/>
    <w:semiHidden/>
    <w:qFormat/>
    <w:rsid w:val="003d19dc"/>
    <w:rPr>
      <w:rFonts w:ascii="Calibri Light" w:hAnsi="Calibri Light" w:eastAsia="" w:cs="Mangal" w:asciiTheme="majorHAnsi" w:eastAsiaTheme="majorEastAsia" w:hAnsiTheme="majorHAnsi"/>
      <w:color w:val="404040" w:themeColor="text1" w:themeTint="bf"/>
      <w:szCs w:val="18"/>
    </w:rPr>
  </w:style>
  <w:style w:type="character" w:styleId="Kop9Char" w:customStyle="1">
    <w:name w:val="Kop 9 Char"/>
    <w:basedOn w:val="DefaultParagraphFont"/>
    <w:link w:val="Kop9"/>
    <w:uiPriority w:val="9"/>
    <w:semiHidden/>
    <w:qFormat/>
    <w:rsid w:val="003d19dc"/>
    <w:rPr>
      <w:rFonts w:ascii="Calibri Light" w:hAnsi="Calibri Light" w:eastAsia="" w:cs="Mangal" w:asciiTheme="majorHAnsi" w:eastAsiaTheme="majorEastAsia" w:hAnsiTheme="majorHAnsi"/>
      <w:i/>
      <w:iCs/>
      <w:color w:val="404040" w:themeColor="text1" w:themeTint="bf"/>
      <w:szCs w:val="18"/>
    </w:rPr>
  </w:style>
  <w:style w:type="character" w:styleId="ListLabel1821" w:customStyle="1">
    <w:name w:val="ListLabel 1821"/>
    <w:qFormat/>
    <w:rPr>
      <w:rFonts w:cs="OpenSymbol"/>
      <w:sz w:val="20"/>
    </w:rPr>
  </w:style>
  <w:style w:type="character" w:styleId="ListLabel1822" w:customStyle="1">
    <w:name w:val="ListLabel 1822"/>
    <w:qFormat/>
    <w:rPr>
      <w:rFonts w:cs="OpenSymbol;Arial Unicode MS"/>
      <w:lang w:val="nl-NL"/>
    </w:rPr>
  </w:style>
  <w:style w:type="character" w:styleId="ListLabel1823" w:customStyle="1">
    <w:name w:val="ListLabel 1823"/>
    <w:qFormat/>
    <w:rPr>
      <w:rFonts w:cs="OpenSymbol;Arial Unicode MS"/>
      <w:lang w:val="nl-NL"/>
    </w:rPr>
  </w:style>
  <w:style w:type="character" w:styleId="ListLabel1824" w:customStyle="1">
    <w:name w:val="ListLabel 1824"/>
    <w:qFormat/>
    <w:rPr>
      <w:rFonts w:cs="OpenSymbol;Arial Unicode MS"/>
      <w:lang w:val="nl-NL"/>
    </w:rPr>
  </w:style>
  <w:style w:type="character" w:styleId="ListLabel1825" w:customStyle="1">
    <w:name w:val="ListLabel 1825"/>
    <w:qFormat/>
    <w:rPr>
      <w:rFonts w:cs="OpenSymbol;Arial Unicode MS"/>
      <w:lang w:val="nl-NL"/>
    </w:rPr>
  </w:style>
  <w:style w:type="character" w:styleId="ListLabel1826" w:customStyle="1">
    <w:name w:val="ListLabel 1826"/>
    <w:qFormat/>
    <w:rPr>
      <w:rFonts w:cs="OpenSymbol;Arial Unicode MS"/>
      <w:lang w:val="nl-NL"/>
    </w:rPr>
  </w:style>
  <w:style w:type="character" w:styleId="ListLabel1827" w:customStyle="1">
    <w:name w:val="ListLabel 1827"/>
    <w:qFormat/>
    <w:rPr>
      <w:rFonts w:cs="OpenSymbol;Arial Unicode MS"/>
      <w:lang w:val="nl-NL"/>
    </w:rPr>
  </w:style>
  <w:style w:type="character" w:styleId="ListLabel1828" w:customStyle="1">
    <w:name w:val="ListLabel 1828"/>
    <w:qFormat/>
    <w:rPr>
      <w:rFonts w:cs="OpenSymbol;Arial Unicode MS"/>
      <w:lang w:val="nl-NL"/>
    </w:rPr>
  </w:style>
  <w:style w:type="character" w:styleId="ListLabel1829" w:customStyle="1">
    <w:name w:val="ListLabel 1829"/>
    <w:qFormat/>
    <w:rPr>
      <w:rFonts w:cs="OpenSymbol;Arial Unicode MS"/>
      <w:lang w:val="nl-NL"/>
    </w:rPr>
  </w:style>
  <w:style w:type="character" w:styleId="ListLabel1830" w:customStyle="1">
    <w:name w:val="ListLabel 1830"/>
    <w:qFormat/>
    <w:rPr>
      <w:rFonts w:cs="OpenSymbol"/>
      <w:sz w:val="20"/>
    </w:rPr>
  </w:style>
  <w:style w:type="character" w:styleId="ListLabel1831" w:customStyle="1">
    <w:name w:val="ListLabel 1831"/>
    <w:qFormat/>
    <w:rPr>
      <w:rFonts w:cs="OpenSymbol"/>
    </w:rPr>
  </w:style>
  <w:style w:type="character" w:styleId="ListLabel1832" w:customStyle="1">
    <w:name w:val="ListLabel 1832"/>
    <w:qFormat/>
    <w:rPr>
      <w:rFonts w:cs="OpenSymbol"/>
    </w:rPr>
  </w:style>
  <w:style w:type="character" w:styleId="ListLabel1833" w:customStyle="1">
    <w:name w:val="ListLabel 1833"/>
    <w:qFormat/>
    <w:rPr>
      <w:rFonts w:cs="OpenSymbol"/>
    </w:rPr>
  </w:style>
  <w:style w:type="character" w:styleId="ListLabel1834" w:customStyle="1">
    <w:name w:val="ListLabel 1834"/>
    <w:qFormat/>
    <w:rPr>
      <w:rFonts w:cs="OpenSymbol"/>
    </w:rPr>
  </w:style>
  <w:style w:type="character" w:styleId="ListLabel1835" w:customStyle="1">
    <w:name w:val="ListLabel 1835"/>
    <w:qFormat/>
    <w:rPr>
      <w:rFonts w:cs="OpenSymbol"/>
    </w:rPr>
  </w:style>
  <w:style w:type="character" w:styleId="ListLabel1836" w:customStyle="1">
    <w:name w:val="ListLabel 1836"/>
    <w:qFormat/>
    <w:rPr>
      <w:rFonts w:cs="OpenSymbol"/>
    </w:rPr>
  </w:style>
  <w:style w:type="character" w:styleId="ListLabel1837" w:customStyle="1">
    <w:name w:val="ListLabel 1837"/>
    <w:qFormat/>
    <w:rPr>
      <w:rFonts w:cs="OpenSymbol"/>
    </w:rPr>
  </w:style>
  <w:style w:type="character" w:styleId="ListLabel1838" w:customStyle="1">
    <w:name w:val="ListLabel 1838"/>
    <w:qFormat/>
    <w:rPr>
      <w:rFonts w:cs="OpenSymbol"/>
    </w:rPr>
  </w:style>
  <w:style w:type="character" w:styleId="ListLabel1839" w:customStyle="1">
    <w:name w:val="ListLabel 1839"/>
    <w:qFormat/>
    <w:rPr>
      <w:rFonts w:cs="OpenSymbol"/>
      <w:sz w:val="20"/>
    </w:rPr>
  </w:style>
  <w:style w:type="character" w:styleId="ListLabel1840" w:customStyle="1">
    <w:name w:val="ListLabel 1840"/>
    <w:qFormat/>
    <w:rPr>
      <w:rFonts w:cs="OpenSymbol"/>
    </w:rPr>
  </w:style>
  <w:style w:type="character" w:styleId="ListLabel1841" w:customStyle="1">
    <w:name w:val="ListLabel 1841"/>
    <w:qFormat/>
    <w:rPr>
      <w:rFonts w:cs="OpenSymbol"/>
    </w:rPr>
  </w:style>
  <w:style w:type="character" w:styleId="ListLabel1842" w:customStyle="1">
    <w:name w:val="ListLabel 1842"/>
    <w:qFormat/>
    <w:rPr>
      <w:rFonts w:cs="OpenSymbol"/>
    </w:rPr>
  </w:style>
  <w:style w:type="character" w:styleId="ListLabel1843" w:customStyle="1">
    <w:name w:val="ListLabel 1843"/>
    <w:qFormat/>
    <w:rPr>
      <w:rFonts w:cs="OpenSymbol"/>
    </w:rPr>
  </w:style>
  <w:style w:type="character" w:styleId="ListLabel1844" w:customStyle="1">
    <w:name w:val="ListLabel 1844"/>
    <w:qFormat/>
    <w:rPr>
      <w:rFonts w:cs="OpenSymbol"/>
    </w:rPr>
  </w:style>
  <w:style w:type="character" w:styleId="ListLabel1845" w:customStyle="1">
    <w:name w:val="ListLabel 1845"/>
    <w:qFormat/>
    <w:rPr>
      <w:rFonts w:cs="OpenSymbol"/>
    </w:rPr>
  </w:style>
  <w:style w:type="character" w:styleId="ListLabel1846" w:customStyle="1">
    <w:name w:val="ListLabel 1846"/>
    <w:qFormat/>
    <w:rPr>
      <w:rFonts w:cs="OpenSymbol"/>
    </w:rPr>
  </w:style>
  <w:style w:type="character" w:styleId="ListLabel1847" w:customStyle="1">
    <w:name w:val="ListLabel 1847"/>
    <w:qFormat/>
    <w:rPr>
      <w:rFonts w:cs="OpenSymbol"/>
    </w:rPr>
  </w:style>
  <w:style w:type="character" w:styleId="ListLabel1848" w:customStyle="1">
    <w:name w:val="ListLabel 1848"/>
    <w:qFormat/>
    <w:rPr>
      <w:rFonts w:cs="OpenSymbol"/>
      <w:sz w:val="20"/>
    </w:rPr>
  </w:style>
  <w:style w:type="character" w:styleId="ListLabel1849" w:customStyle="1">
    <w:name w:val="ListLabel 1849"/>
    <w:qFormat/>
    <w:rPr>
      <w:rFonts w:cs="OpenSymbol"/>
    </w:rPr>
  </w:style>
  <w:style w:type="character" w:styleId="ListLabel1850" w:customStyle="1">
    <w:name w:val="ListLabel 1850"/>
    <w:qFormat/>
    <w:rPr>
      <w:rFonts w:cs="OpenSymbol"/>
    </w:rPr>
  </w:style>
  <w:style w:type="character" w:styleId="ListLabel1851" w:customStyle="1">
    <w:name w:val="ListLabel 1851"/>
    <w:qFormat/>
    <w:rPr>
      <w:rFonts w:cs="OpenSymbol"/>
    </w:rPr>
  </w:style>
  <w:style w:type="character" w:styleId="ListLabel1852" w:customStyle="1">
    <w:name w:val="ListLabel 1852"/>
    <w:qFormat/>
    <w:rPr>
      <w:rFonts w:cs="OpenSymbol"/>
    </w:rPr>
  </w:style>
  <w:style w:type="character" w:styleId="ListLabel1853" w:customStyle="1">
    <w:name w:val="ListLabel 1853"/>
    <w:qFormat/>
    <w:rPr>
      <w:rFonts w:cs="OpenSymbol"/>
    </w:rPr>
  </w:style>
  <w:style w:type="character" w:styleId="ListLabel1854" w:customStyle="1">
    <w:name w:val="ListLabel 1854"/>
    <w:qFormat/>
    <w:rPr>
      <w:rFonts w:cs="OpenSymbol"/>
    </w:rPr>
  </w:style>
  <w:style w:type="character" w:styleId="ListLabel1855" w:customStyle="1">
    <w:name w:val="ListLabel 1855"/>
    <w:qFormat/>
    <w:rPr>
      <w:rFonts w:cs="OpenSymbol"/>
    </w:rPr>
  </w:style>
  <w:style w:type="character" w:styleId="ListLabel1856" w:customStyle="1">
    <w:name w:val="ListLabel 1856"/>
    <w:qFormat/>
    <w:rPr>
      <w:rFonts w:cs="OpenSymbol"/>
    </w:rPr>
  </w:style>
  <w:style w:type="character" w:styleId="ListLabel1857" w:customStyle="1">
    <w:name w:val="ListLabel 1857"/>
    <w:qFormat/>
    <w:rPr>
      <w:rFonts w:cs="OpenSymbol"/>
      <w:sz w:val="20"/>
    </w:rPr>
  </w:style>
  <w:style w:type="character" w:styleId="ListLabel1858" w:customStyle="1">
    <w:name w:val="ListLabel 1858"/>
    <w:qFormat/>
    <w:rPr>
      <w:rFonts w:cs="OpenSymbol"/>
    </w:rPr>
  </w:style>
  <w:style w:type="character" w:styleId="ListLabel1859" w:customStyle="1">
    <w:name w:val="ListLabel 1859"/>
    <w:qFormat/>
    <w:rPr>
      <w:rFonts w:cs="OpenSymbol"/>
    </w:rPr>
  </w:style>
  <w:style w:type="character" w:styleId="ListLabel1860" w:customStyle="1">
    <w:name w:val="ListLabel 1860"/>
    <w:qFormat/>
    <w:rPr>
      <w:rFonts w:cs="OpenSymbol"/>
    </w:rPr>
  </w:style>
  <w:style w:type="character" w:styleId="ListLabel1861" w:customStyle="1">
    <w:name w:val="ListLabel 1861"/>
    <w:qFormat/>
    <w:rPr>
      <w:rFonts w:cs="OpenSymbol"/>
    </w:rPr>
  </w:style>
  <w:style w:type="character" w:styleId="ListLabel1862" w:customStyle="1">
    <w:name w:val="ListLabel 1862"/>
    <w:qFormat/>
    <w:rPr>
      <w:rFonts w:cs="OpenSymbol"/>
    </w:rPr>
  </w:style>
  <w:style w:type="character" w:styleId="ListLabel1863" w:customStyle="1">
    <w:name w:val="ListLabel 1863"/>
    <w:qFormat/>
    <w:rPr>
      <w:rFonts w:cs="OpenSymbol"/>
    </w:rPr>
  </w:style>
  <w:style w:type="character" w:styleId="ListLabel1864" w:customStyle="1">
    <w:name w:val="ListLabel 1864"/>
    <w:qFormat/>
    <w:rPr>
      <w:rFonts w:cs="OpenSymbol"/>
    </w:rPr>
  </w:style>
  <w:style w:type="character" w:styleId="ListLabel1865" w:customStyle="1">
    <w:name w:val="ListLabel 1865"/>
    <w:qFormat/>
    <w:rPr>
      <w:rFonts w:cs="OpenSymbol"/>
    </w:rPr>
  </w:style>
  <w:style w:type="character" w:styleId="ListLabel1866" w:customStyle="1">
    <w:name w:val="ListLabel 1866"/>
    <w:qFormat/>
    <w:rPr>
      <w:rFonts w:cs="OpenSymbol"/>
      <w:sz w:val="20"/>
    </w:rPr>
  </w:style>
  <w:style w:type="character" w:styleId="ListLabel1867" w:customStyle="1">
    <w:name w:val="ListLabel 1867"/>
    <w:qFormat/>
    <w:rPr>
      <w:rFonts w:cs="OpenSymbol"/>
    </w:rPr>
  </w:style>
  <w:style w:type="character" w:styleId="ListLabel1868" w:customStyle="1">
    <w:name w:val="ListLabel 1868"/>
    <w:qFormat/>
    <w:rPr>
      <w:rFonts w:cs="OpenSymbol"/>
    </w:rPr>
  </w:style>
  <w:style w:type="character" w:styleId="ListLabel1869" w:customStyle="1">
    <w:name w:val="ListLabel 1869"/>
    <w:qFormat/>
    <w:rPr>
      <w:rFonts w:cs="OpenSymbol"/>
    </w:rPr>
  </w:style>
  <w:style w:type="character" w:styleId="ListLabel1870" w:customStyle="1">
    <w:name w:val="ListLabel 1870"/>
    <w:qFormat/>
    <w:rPr>
      <w:rFonts w:cs="OpenSymbol"/>
    </w:rPr>
  </w:style>
  <w:style w:type="character" w:styleId="ListLabel1871" w:customStyle="1">
    <w:name w:val="ListLabel 1871"/>
    <w:qFormat/>
    <w:rPr>
      <w:rFonts w:cs="OpenSymbol"/>
    </w:rPr>
  </w:style>
  <w:style w:type="character" w:styleId="ListLabel1872" w:customStyle="1">
    <w:name w:val="ListLabel 1872"/>
    <w:qFormat/>
    <w:rPr>
      <w:rFonts w:cs="OpenSymbol"/>
    </w:rPr>
  </w:style>
  <w:style w:type="character" w:styleId="ListLabel1873" w:customStyle="1">
    <w:name w:val="ListLabel 1873"/>
    <w:qFormat/>
    <w:rPr>
      <w:rFonts w:cs="OpenSymbol"/>
    </w:rPr>
  </w:style>
  <w:style w:type="character" w:styleId="ListLabel1874" w:customStyle="1">
    <w:name w:val="ListLabel 1874"/>
    <w:qFormat/>
    <w:rPr>
      <w:rFonts w:cs="OpenSymbol"/>
    </w:rPr>
  </w:style>
  <w:style w:type="character" w:styleId="ListLabel1875" w:customStyle="1">
    <w:name w:val="ListLabel 1875"/>
    <w:qFormat/>
    <w:rPr>
      <w:rFonts w:cs="OpenSymbol"/>
      <w:sz w:val="20"/>
    </w:rPr>
  </w:style>
  <w:style w:type="character" w:styleId="ListLabel1876" w:customStyle="1">
    <w:name w:val="ListLabel 1876"/>
    <w:qFormat/>
    <w:rPr>
      <w:rFonts w:cs="OpenSymbol"/>
    </w:rPr>
  </w:style>
  <w:style w:type="character" w:styleId="ListLabel1877" w:customStyle="1">
    <w:name w:val="ListLabel 1877"/>
    <w:qFormat/>
    <w:rPr>
      <w:rFonts w:cs="OpenSymbol"/>
    </w:rPr>
  </w:style>
  <w:style w:type="character" w:styleId="ListLabel1878" w:customStyle="1">
    <w:name w:val="ListLabel 1878"/>
    <w:qFormat/>
    <w:rPr>
      <w:rFonts w:cs="OpenSymbol"/>
    </w:rPr>
  </w:style>
  <w:style w:type="character" w:styleId="ListLabel1879" w:customStyle="1">
    <w:name w:val="ListLabel 1879"/>
    <w:qFormat/>
    <w:rPr>
      <w:rFonts w:cs="OpenSymbol"/>
    </w:rPr>
  </w:style>
  <w:style w:type="character" w:styleId="ListLabel1880" w:customStyle="1">
    <w:name w:val="ListLabel 1880"/>
    <w:qFormat/>
    <w:rPr>
      <w:rFonts w:cs="OpenSymbol"/>
    </w:rPr>
  </w:style>
  <w:style w:type="character" w:styleId="ListLabel1881" w:customStyle="1">
    <w:name w:val="ListLabel 1881"/>
    <w:qFormat/>
    <w:rPr>
      <w:rFonts w:cs="OpenSymbol"/>
    </w:rPr>
  </w:style>
  <w:style w:type="character" w:styleId="ListLabel1882" w:customStyle="1">
    <w:name w:val="ListLabel 1882"/>
    <w:qFormat/>
    <w:rPr>
      <w:rFonts w:cs="OpenSymbol"/>
    </w:rPr>
  </w:style>
  <w:style w:type="character" w:styleId="ListLabel1883" w:customStyle="1">
    <w:name w:val="ListLabel 1883"/>
    <w:qFormat/>
    <w:rPr>
      <w:rFonts w:cs="OpenSymbol"/>
    </w:rPr>
  </w:style>
  <w:style w:type="character" w:styleId="ListLabel1884" w:customStyle="1">
    <w:name w:val="ListLabel 1884"/>
    <w:qFormat/>
    <w:rPr>
      <w:rFonts w:cs="Times New Roman"/>
      <w:sz w:val="20"/>
    </w:rPr>
  </w:style>
  <w:style w:type="character" w:styleId="ListLabel1885" w:customStyle="1">
    <w:name w:val="ListLabel 1885"/>
    <w:qFormat/>
    <w:rPr>
      <w:rFonts w:cs="Courier New"/>
    </w:rPr>
  </w:style>
  <w:style w:type="character" w:styleId="ListLabel1886" w:customStyle="1">
    <w:name w:val="ListLabel 1886"/>
    <w:qFormat/>
    <w:rPr>
      <w:rFonts w:cs="Wingdings"/>
    </w:rPr>
  </w:style>
  <w:style w:type="character" w:styleId="ListLabel1887" w:customStyle="1">
    <w:name w:val="ListLabel 1887"/>
    <w:qFormat/>
    <w:rPr>
      <w:rFonts w:cs="Symbol"/>
    </w:rPr>
  </w:style>
  <w:style w:type="character" w:styleId="ListLabel1888" w:customStyle="1">
    <w:name w:val="ListLabel 1888"/>
    <w:qFormat/>
    <w:rPr>
      <w:rFonts w:cs="Courier New"/>
    </w:rPr>
  </w:style>
  <w:style w:type="character" w:styleId="ListLabel1889" w:customStyle="1">
    <w:name w:val="ListLabel 1889"/>
    <w:qFormat/>
    <w:rPr>
      <w:rFonts w:cs="Wingdings"/>
    </w:rPr>
  </w:style>
  <w:style w:type="character" w:styleId="ListLabel1890" w:customStyle="1">
    <w:name w:val="ListLabel 1890"/>
    <w:qFormat/>
    <w:rPr>
      <w:rFonts w:cs="Symbol"/>
    </w:rPr>
  </w:style>
  <w:style w:type="character" w:styleId="ListLabel1891" w:customStyle="1">
    <w:name w:val="ListLabel 1891"/>
    <w:qFormat/>
    <w:rPr>
      <w:rFonts w:cs="Courier New"/>
    </w:rPr>
  </w:style>
  <w:style w:type="character" w:styleId="ListLabel1892" w:customStyle="1">
    <w:name w:val="ListLabel 1892"/>
    <w:qFormat/>
    <w:rPr>
      <w:rFonts w:cs="Wingdings"/>
    </w:rPr>
  </w:style>
  <w:style w:type="character" w:styleId="ListLabel1893" w:customStyle="1">
    <w:name w:val="ListLabel 1893"/>
    <w:qFormat/>
    <w:rPr>
      <w:rFonts w:cs="OpenSymbol"/>
      <w:sz w:val="20"/>
    </w:rPr>
  </w:style>
  <w:style w:type="character" w:styleId="ListLabel1894" w:customStyle="1">
    <w:name w:val="ListLabel 1894"/>
    <w:qFormat/>
    <w:rPr>
      <w:rFonts w:cs="Courier New"/>
    </w:rPr>
  </w:style>
  <w:style w:type="character" w:styleId="ListLabel1895" w:customStyle="1">
    <w:name w:val="ListLabel 1895"/>
    <w:qFormat/>
    <w:rPr>
      <w:rFonts w:cs="Wingdings"/>
    </w:rPr>
  </w:style>
  <w:style w:type="character" w:styleId="ListLabel1896" w:customStyle="1">
    <w:name w:val="ListLabel 1896"/>
    <w:qFormat/>
    <w:rPr>
      <w:rFonts w:cs="Symbol"/>
    </w:rPr>
  </w:style>
  <w:style w:type="character" w:styleId="ListLabel1897" w:customStyle="1">
    <w:name w:val="ListLabel 1897"/>
    <w:qFormat/>
    <w:rPr>
      <w:rFonts w:cs="Courier New"/>
    </w:rPr>
  </w:style>
  <w:style w:type="character" w:styleId="ListLabel1898" w:customStyle="1">
    <w:name w:val="ListLabel 1898"/>
    <w:qFormat/>
    <w:rPr>
      <w:rFonts w:cs="Wingdings"/>
    </w:rPr>
  </w:style>
  <w:style w:type="character" w:styleId="ListLabel1899" w:customStyle="1">
    <w:name w:val="ListLabel 1899"/>
    <w:qFormat/>
    <w:rPr>
      <w:rFonts w:cs="Symbol"/>
    </w:rPr>
  </w:style>
  <w:style w:type="character" w:styleId="ListLabel1900" w:customStyle="1">
    <w:name w:val="ListLabel 1900"/>
    <w:qFormat/>
    <w:rPr>
      <w:rFonts w:cs="Courier New"/>
    </w:rPr>
  </w:style>
  <w:style w:type="character" w:styleId="ListLabel1901" w:customStyle="1">
    <w:name w:val="ListLabel 1901"/>
    <w:qFormat/>
    <w:rPr>
      <w:rFonts w:cs="Wingdings"/>
    </w:rPr>
  </w:style>
  <w:style w:type="character" w:styleId="ListLabel1902" w:customStyle="1">
    <w:name w:val="ListLabel 1902"/>
    <w:qFormat/>
    <w:rPr>
      <w:rFonts w:cs="Times New Roman"/>
      <w:sz w:val="20"/>
    </w:rPr>
  </w:style>
  <w:style w:type="character" w:styleId="ListLabel1903" w:customStyle="1">
    <w:name w:val="ListLabel 1903"/>
    <w:qFormat/>
    <w:rPr>
      <w:rFonts w:cs="Courier New"/>
    </w:rPr>
  </w:style>
  <w:style w:type="character" w:styleId="ListLabel1904" w:customStyle="1">
    <w:name w:val="ListLabel 1904"/>
    <w:qFormat/>
    <w:rPr>
      <w:rFonts w:cs="Wingdings"/>
    </w:rPr>
  </w:style>
  <w:style w:type="character" w:styleId="ListLabel1905" w:customStyle="1">
    <w:name w:val="ListLabel 1905"/>
    <w:qFormat/>
    <w:rPr>
      <w:rFonts w:cs="Symbol"/>
    </w:rPr>
  </w:style>
  <w:style w:type="character" w:styleId="ListLabel1906" w:customStyle="1">
    <w:name w:val="ListLabel 1906"/>
    <w:qFormat/>
    <w:rPr>
      <w:rFonts w:cs="Courier New"/>
    </w:rPr>
  </w:style>
  <w:style w:type="character" w:styleId="ListLabel1907" w:customStyle="1">
    <w:name w:val="ListLabel 1907"/>
    <w:qFormat/>
    <w:rPr>
      <w:rFonts w:cs="Wingdings"/>
    </w:rPr>
  </w:style>
  <w:style w:type="character" w:styleId="ListLabel1908" w:customStyle="1">
    <w:name w:val="ListLabel 1908"/>
    <w:qFormat/>
    <w:rPr>
      <w:rFonts w:cs="Symbol"/>
    </w:rPr>
  </w:style>
  <w:style w:type="character" w:styleId="ListLabel1909" w:customStyle="1">
    <w:name w:val="ListLabel 1909"/>
    <w:qFormat/>
    <w:rPr>
      <w:rFonts w:cs="Courier New"/>
    </w:rPr>
  </w:style>
  <w:style w:type="character" w:styleId="ListLabel1910" w:customStyle="1">
    <w:name w:val="ListLabel 1910"/>
    <w:qFormat/>
    <w:rPr>
      <w:rFonts w:cs="Wingdings"/>
    </w:rPr>
  </w:style>
  <w:style w:type="character" w:styleId="ListLabel1911" w:customStyle="1">
    <w:name w:val="ListLabel 1911"/>
    <w:qFormat/>
    <w:rPr>
      <w:rFonts w:cs="Symbol"/>
    </w:rPr>
  </w:style>
  <w:style w:type="character" w:styleId="ListLabel1912" w:customStyle="1">
    <w:name w:val="ListLabel 1912"/>
    <w:qFormat/>
    <w:rPr>
      <w:rFonts w:cs="Times New Roman"/>
      <w:sz w:val="20"/>
    </w:rPr>
  </w:style>
  <w:style w:type="character" w:styleId="ListLabel1913" w:customStyle="1">
    <w:name w:val="ListLabel 1913"/>
    <w:qFormat/>
    <w:rPr>
      <w:rFonts w:cs="Times New Roman"/>
      <w:sz w:val="16"/>
    </w:rPr>
  </w:style>
  <w:style w:type="character" w:styleId="ListLabel1914" w:customStyle="1">
    <w:name w:val="ListLabel 1914"/>
    <w:qFormat/>
    <w:rPr>
      <w:rFonts w:cs="Courier New"/>
    </w:rPr>
  </w:style>
  <w:style w:type="character" w:styleId="ListLabel1915" w:customStyle="1">
    <w:name w:val="ListLabel 1915"/>
    <w:qFormat/>
    <w:rPr>
      <w:rFonts w:cs="Wingdings"/>
    </w:rPr>
  </w:style>
  <w:style w:type="character" w:styleId="ListLabel1916" w:customStyle="1">
    <w:name w:val="ListLabel 1916"/>
    <w:qFormat/>
    <w:rPr>
      <w:rFonts w:cs="Symbol"/>
    </w:rPr>
  </w:style>
  <w:style w:type="character" w:styleId="ListLabel1917" w:customStyle="1">
    <w:name w:val="ListLabel 1917"/>
    <w:qFormat/>
    <w:rPr>
      <w:rFonts w:cs="Courier New"/>
    </w:rPr>
  </w:style>
  <w:style w:type="character" w:styleId="ListLabel1918" w:customStyle="1">
    <w:name w:val="ListLabel 1918"/>
    <w:qFormat/>
    <w:rPr>
      <w:rFonts w:cs="Wingdings"/>
    </w:rPr>
  </w:style>
  <w:style w:type="character" w:styleId="ListLabel1919" w:customStyle="1">
    <w:name w:val="ListLabel 1919"/>
    <w:qFormat/>
    <w:rPr>
      <w:rFonts w:cs="Symbol"/>
    </w:rPr>
  </w:style>
  <w:style w:type="character" w:styleId="ListLabel1920" w:customStyle="1">
    <w:name w:val="ListLabel 1920"/>
    <w:qFormat/>
    <w:rPr>
      <w:rFonts w:cs="Courier New"/>
    </w:rPr>
  </w:style>
  <w:style w:type="character" w:styleId="ListLabel1921" w:customStyle="1">
    <w:name w:val="ListLabel 1921"/>
    <w:qFormat/>
    <w:rPr>
      <w:rFonts w:cs="Wingdings"/>
    </w:rPr>
  </w:style>
  <w:style w:type="character" w:styleId="ListLabel1922" w:customStyle="1">
    <w:name w:val="ListLabel 1922"/>
    <w:qFormat/>
    <w:rPr>
      <w:rFonts w:cs="Symbol"/>
      <w:sz w:val="20"/>
    </w:rPr>
  </w:style>
  <w:style w:type="character" w:styleId="ListLabel1923" w:customStyle="1">
    <w:name w:val="ListLabel 1923"/>
    <w:qFormat/>
    <w:rPr>
      <w:rFonts w:cs="Courier New"/>
    </w:rPr>
  </w:style>
  <w:style w:type="character" w:styleId="ListLabel1924" w:customStyle="1">
    <w:name w:val="ListLabel 1924"/>
    <w:qFormat/>
    <w:rPr>
      <w:rFonts w:cs="Wingdings"/>
    </w:rPr>
  </w:style>
  <w:style w:type="character" w:styleId="ListLabel1925" w:customStyle="1">
    <w:name w:val="ListLabel 1925"/>
    <w:qFormat/>
    <w:rPr>
      <w:rFonts w:cs="Symbol"/>
    </w:rPr>
  </w:style>
  <w:style w:type="character" w:styleId="ListLabel1926" w:customStyle="1">
    <w:name w:val="ListLabel 1926"/>
    <w:qFormat/>
    <w:rPr>
      <w:rFonts w:cs="Courier New"/>
    </w:rPr>
  </w:style>
  <w:style w:type="character" w:styleId="ListLabel1927" w:customStyle="1">
    <w:name w:val="ListLabel 1927"/>
    <w:qFormat/>
    <w:rPr>
      <w:rFonts w:cs="Wingdings"/>
    </w:rPr>
  </w:style>
  <w:style w:type="character" w:styleId="ListLabel1928" w:customStyle="1">
    <w:name w:val="ListLabel 1928"/>
    <w:qFormat/>
    <w:rPr>
      <w:rFonts w:cs="Symbol"/>
    </w:rPr>
  </w:style>
  <w:style w:type="character" w:styleId="ListLabel1929" w:customStyle="1">
    <w:name w:val="ListLabel 1929"/>
    <w:qFormat/>
    <w:rPr>
      <w:rFonts w:cs="Courier New"/>
    </w:rPr>
  </w:style>
  <w:style w:type="character" w:styleId="ListLabel1930" w:customStyle="1">
    <w:name w:val="ListLabel 1930"/>
    <w:qFormat/>
    <w:rPr>
      <w:rFonts w:cs="Wingdings"/>
    </w:rPr>
  </w:style>
  <w:style w:type="character" w:styleId="ListLabel1931" w:customStyle="1">
    <w:name w:val="ListLabel 1931"/>
    <w:qFormat/>
    <w:rPr>
      <w:rFonts w:cs="OpenSymbol"/>
    </w:rPr>
  </w:style>
  <w:style w:type="character" w:styleId="ListLabel1932" w:customStyle="1">
    <w:name w:val="ListLabel 1932"/>
    <w:qFormat/>
    <w:rPr>
      <w:rFonts w:cs="OpenSymbol"/>
    </w:rPr>
  </w:style>
  <w:style w:type="character" w:styleId="ListLabel1933" w:customStyle="1">
    <w:name w:val="ListLabel 1933"/>
    <w:qFormat/>
    <w:rPr>
      <w:rFonts w:cs="OpenSymbol"/>
    </w:rPr>
  </w:style>
  <w:style w:type="character" w:styleId="ListLabel1934" w:customStyle="1">
    <w:name w:val="ListLabel 1934"/>
    <w:qFormat/>
    <w:rPr>
      <w:rFonts w:cs="OpenSymbol"/>
    </w:rPr>
  </w:style>
  <w:style w:type="character" w:styleId="ListLabel1935" w:customStyle="1">
    <w:name w:val="ListLabel 1935"/>
    <w:qFormat/>
    <w:rPr>
      <w:rFonts w:cs="OpenSymbol"/>
    </w:rPr>
  </w:style>
  <w:style w:type="character" w:styleId="ListLabel1936" w:customStyle="1">
    <w:name w:val="ListLabel 1936"/>
    <w:qFormat/>
    <w:rPr>
      <w:rFonts w:cs="OpenSymbol"/>
    </w:rPr>
  </w:style>
  <w:style w:type="character" w:styleId="ListLabel1937" w:customStyle="1">
    <w:name w:val="ListLabel 1937"/>
    <w:qFormat/>
    <w:rPr>
      <w:rFonts w:cs="OpenSymbol"/>
    </w:rPr>
  </w:style>
  <w:style w:type="character" w:styleId="ListLabel1938" w:customStyle="1">
    <w:name w:val="ListLabel 1938"/>
    <w:qFormat/>
    <w:rPr>
      <w:rFonts w:cs="OpenSymbol"/>
    </w:rPr>
  </w:style>
  <w:style w:type="character" w:styleId="ListLabel1939" w:customStyle="1">
    <w:name w:val="ListLabel 1939"/>
    <w:qFormat/>
    <w:rPr>
      <w:rFonts w:cs="OpenSymbol"/>
    </w:rPr>
  </w:style>
  <w:style w:type="character" w:styleId="ListLabel1940" w:customStyle="1">
    <w:name w:val="ListLabel 1940"/>
    <w:qFormat/>
    <w:rPr>
      <w:rFonts w:cs="OpenSymbol"/>
    </w:rPr>
  </w:style>
  <w:style w:type="character" w:styleId="ListLabel1941" w:customStyle="1">
    <w:name w:val="ListLabel 1941"/>
    <w:qFormat/>
    <w:rPr>
      <w:rFonts w:cs="OpenSymbol"/>
    </w:rPr>
  </w:style>
  <w:style w:type="character" w:styleId="ListLabel1942" w:customStyle="1">
    <w:name w:val="ListLabel 1942"/>
    <w:qFormat/>
    <w:rPr>
      <w:rFonts w:cs="OpenSymbol"/>
    </w:rPr>
  </w:style>
  <w:style w:type="character" w:styleId="ListLabel1943" w:customStyle="1">
    <w:name w:val="ListLabel 1943"/>
    <w:qFormat/>
    <w:rPr>
      <w:rFonts w:cs="OpenSymbol"/>
    </w:rPr>
  </w:style>
  <w:style w:type="character" w:styleId="ListLabel1944" w:customStyle="1">
    <w:name w:val="ListLabel 1944"/>
    <w:qFormat/>
    <w:rPr>
      <w:rFonts w:cs="OpenSymbol"/>
    </w:rPr>
  </w:style>
  <w:style w:type="character" w:styleId="ListLabel1945" w:customStyle="1">
    <w:name w:val="ListLabel 1945"/>
    <w:qFormat/>
    <w:rPr>
      <w:rFonts w:cs="OpenSymbol"/>
    </w:rPr>
  </w:style>
  <w:style w:type="character" w:styleId="ListLabel1946" w:customStyle="1">
    <w:name w:val="ListLabel 1946"/>
    <w:qFormat/>
    <w:rPr>
      <w:rFonts w:cs="OpenSymbol"/>
    </w:rPr>
  </w:style>
  <w:style w:type="character" w:styleId="ListLabel1947" w:customStyle="1">
    <w:name w:val="ListLabel 1947"/>
    <w:qFormat/>
    <w:rPr>
      <w:rFonts w:cs="OpenSymbol"/>
    </w:rPr>
  </w:style>
  <w:style w:type="character" w:styleId="ListLabel1948" w:customStyle="1">
    <w:name w:val="ListLabel 1948"/>
    <w:qFormat/>
    <w:rPr>
      <w:rFonts w:cs="OpenSymbol"/>
    </w:rPr>
  </w:style>
  <w:style w:type="character" w:styleId="ListLabel1949" w:customStyle="1">
    <w:name w:val="ListLabel 1949"/>
    <w:qFormat/>
    <w:rPr>
      <w:rFonts w:cs="OpenSymbol"/>
    </w:rPr>
  </w:style>
  <w:style w:type="character" w:styleId="ListLabel1950" w:customStyle="1">
    <w:name w:val="ListLabel 1950"/>
    <w:qFormat/>
    <w:rPr>
      <w:rFonts w:cs="OpenSymbol"/>
    </w:rPr>
  </w:style>
  <w:style w:type="character" w:styleId="ListLabel1951" w:customStyle="1">
    <w:name w:val="ListLabel 1951"/>
    <w:qFormat/>
    <w:rPr>
      <w:rFonts w:cs="OpenSymbol"/>
    </w:rPr>
  </w:style>
  <w:style w:type="character" w:styleId="ListLabel1952" w:customStyle="1">
    <w:name w:val="ListLabel 1952"/>
    <w:qFormat/>
    <w:rPr>
      <w:rFonts w:cs="OpenSymbol"/>
    </w:rPr>
  </w:style>
  <w:style w:type="character" w:styleId="ListLabel1953" w:customStyle="1">
    <w:name w:val="ListLabel 1953"/>
    <w:qFormat/>
    <w:rPr>
      <w:rFonts w:cs="OpenSymbol"/>
    </w:rPr>
  </w:style>
  <w:style w:type="character" w:styleId="ListLabel1954" w:customStyle="1">
    <w:name w:val="ListLabel 1954"/>
    <w:qFormat/>
    <w:rPr>
      <w:rFonts w:cs="OpenSymbol"/>
    </w:rPr>
  </w:style>
  <w:style w:type="character" w:styleId="ListLabel1955" w:customStyle="1">
    <w:name w:val="ListLabel 1955"/>
    <w:qFormat/>
    <w:rPr>
      <w:rFonts w:cs="OpenSymbol"/>
    </w:rPr>
  </w:style>
  <w:style w:type="character" w:styleId="ListLabel1956" w:customStyle="1">
    <w:name w:val="ListLabel 1956"/>
    <w:qFormat/>
    <w:rPr>
      <w:rFonts w:cs="OpenSymbol"/>
    </w:rPr>
  </w:style>
  <w:style w:type="character" w:styleId="ListLabel1957" w:customStyle="1">
    <w:name w:val="ListLabel 1957"/>
    <w:qFormat/>
    <w:rPr>
      <w:rFonts w:cs="OpenSymbol"/>
    </w:rPr>
  </w:style>
  <w:style w:type="character" w:styleId="ListLabel1958" w:customStyle="1">
    <w:name w:val="ListLabel 1958"/>
    <w:qFormat/>
    <w:rPr>
      <w:rFonts w:cs="OpenSymbol"/>
    </w:rPr>
  </w:style>
  <w:style w:type="character" w:styleId="ListLabel1959" w:customStyle="1">
    <w:name w:val="ListLabel 1959"/>
    <w:qFormat/>
    <w:rPr>
      <w:rFonts w:cs="OpenSymbol"/>
    </w:rPr>
  </w:style>
  <w:style w:type="character" w:styleId="ListLabel1960" w:customStyle="1">
    <w:name w:val="ListLabel 1960"/>
    <w:qFormat/>
    <w:rPr>
      <w:rFonts w:cs="OpenSymbol"/>
    </w:rPr>
  </w:style>
  <w:style w:type="character" w:styleId="ListLabel1961" w:customStyle="1">
    <w:name w:val="ListLabel 1961"/>
    <w:qFormat/>
    <w:rPr>
      <w:rFonts w:cs="OpenSymbol"/>
    </w:rPr>
  </w:style>
  <w:style w:type="character" w:styleId="ListLabel1962" w:customStyle="1">
    <w:name w:val="ListLabel 1962"/>
    <w:qFormat/>
    <w:rPr>
      <w:rFonts w:cs="OpenSymbol"/>
    </w:rPr>
  </w:style>
  <w:style w:type="character" w:styleId="ListLabel1963" w:customStyle="1">
    <w:name w:val="ListLabel 1963"/>
    <w:qFormat/>
    <w:rPr>
      <w:rFonts w:cs="OpenSymbol"/>
    </w:rPr>
  </w:style>
  <w:style w:type="character" w:styleId="ListLabel1964" w:customStyle="1">
    <w:name w:val="ListLabel 1964"/>
    <w:qFormat/>
    <w:rPr>
      <w:rFonts w:cs="OpenSymbol"/>
    </w:rPr>
  </w:style>
  <w:style w:type="character" w:styleId="ListLabel1965" w:customStyle="1">
    <w:name w:val="ListLabel 1965"/>
    <w:qFormat/>
    <w:rPr>
      <w:rFonts w:cs="OpenSymbol"/>
    </w:rPr>
  </w:style>
  <w:style w:type="character" w:styleId="ListLabel1966" w:customStyle="1">
    <w:name w:val="ListLabel 1966"/>
    <w:qFormat/>
    <w:rPr>
      <w:rFonts w:cs="OpenSymbol"/>
    </w:rPr>
  </w:style>
  <w:style w:type="character" w:styleId="ListLabel1967" w:customStyle="1">
    <w:name w:val="ListLabel 1967"/>
    <w:qFormat/>
    <w:rPr>
      <w:rFonts w:cs="OpenSymbol"/>
    </w:rPr>
  </w:style>
  <w:style w:type="character" w:styleId="ListLabel1968" w:customStyle="1">
    <w:name w:val="ListLabel 1968"/>
    <w:qFormat/>
    <w:rPr>
      <w:rFonts w:cs="OpenSymbol"/>
    </w:rPr>
  </w:style>
  <w:style w:type="character" w:styleId="ListLabel1969" w:customStyle="1">
    <w:name w:val="ListLabel 1969"/>
    <w:qFormat/>
    <w:rPr>
      <w:rFonts w:cs="OpenSymbol"/>
    </w:rPr>
  </w:style>
  <w:style w:type="character" w:styleId="ListLabel1970" w:customStyle="1">
    <w:name w:val="ListLabel 1970"/>
    <w:qFormat/>
    <w:rPr>
      <w:rFonts w:cs="OpenSymbol"/>
    </w:rPr>
  </w:style>
  <w:style w:type="character" w:styleId="ListLabel1971" w:customStyle="1">
    <w:name w:val="ListLabel 1971"/>
    <w:qFormat/>
    <w:rPr>
      <w:rFonts w:cs="OpenSymbol"/>
    </w:rPr>
  </w:style>
  <w:style w:type="character" w:styleId="ListLabel1972" w:customStyle="1">
    <w:name w:val="ListLabel 1972"/>
    <w:qFormat/>
    <w:rPr>
      <w:rFonts w:cs="OpenSymbol"/>
    </w:rPr>
  </w:style>
  <w:style w:type="character" w:styleId="ListLabel1973" w:customStyle="1">
    <w:name w:val="ListLabel 1973"/>
    <w:qFormat/>
    <w:rPr>
      <w:rFonts w:cs="OpenSymbol"/>
    </w:rPr>
  </w:style>
  <w:style w:type="character" w:styleId="ListLabel1974" w:customStyle="1">
    <w:name w:val="ListLabel 1974"/>
    <w:qFormat/>
    <w:rPr>
      <w:rFonts w:cs="OpenSymbol"/>
    </w:rPr>
  </w:style>
  <w:style w:type="character" w:styleId="ListLabel1975" w:customStyle="1">
    <w:name w:val="ListLabel 1975"/>
    <w:qFormat/>
    <w:rPr>
      <w:rFonts w:cs="OpenSymbol"/>
    </w:rPr>
  </w:style>
  <w:style w:type="character" w:styleId="ListLabel1976" w:customStyle="1">
    <w:name w:val="ListLabel 1976"/>
    <w:qFormat/>
    <w:rPr>
      <w:rFonts w:cs="OpenSymbol"/>
    </w:rPr>
  </w:style>
  <w:style w:type="character" w:styleId="ListLabel1977" w:customStyle="1">
    <w:name w:val="ListLabel 1977"/>
    <w:qFormat/>
    <w:rPr>
      <w:rFonts w:cs="OpenSymbol"/>
    </w:rPr>
  </w:style>
  <w:style w:type="character" w:styleId="ListLabel1978" w:customStyle="1">
    <w:name w:val="ListLabel 1978"/>
    <w:qFormat/>
    <w:rPr>
      <w:rFonts w:cs="OpenSymbol"/>
    </w:rPr>
  </w:style>
  <w:style w:type="character" w:styleId="ListLabel1979" w:customStyle="1">
    <w:name w:val="ListLabel 1979"/>
    <w:qFormat/>
    <w:rPr>
      <w:rFonts w:cs="OpenSymbol"/>
    </w:rPr>
  </w:style>
  <w:style w:type="character" w:styleId="ListLabel1980" w:customStyle="1">
    <w:name w:val="ListLabel 1980"/>
    <w:qFormat/>
    <w:rPr>
      <w:rFonts w:cs="OpenSymbol"/>
    </w:rPr>
  </w:style>
  <w:style w:type="character" w:styleId="ListLabel1981" w:customStyle="1">
    <w:name w:val="ListLabel 1981"/>
    <w:qFormat/>
    <w:rPr>
      <w:rFonts w:cs="OpenSymbol"/>
    </w:rPr>
  </w:style>
  <w:style w:type="character" w:styleId="ListLabel1982" w:customStyle="1">
    <w:name w:val="ListLabel 1982"/>
    <w:qFormat/>
    <w:rPr>
      <w:rFonts w:cs="OpenSymbol"/>
    </w:rPr>
  </w:style>
  <w:style w:type="character" w:styleId="ListLabel1983" w:customStyle="1">
    <w:name w:val="ListLabel 1983"/>
    <w:qFormat/>
    <w:rPr>
      <w:rFonts w:cs="OpenSymbol"/>
    </w:rPr>
  </w:style>
  <w:style w:type="character" w:styleId="ListLabel1984" w:customStyle="1">
    <w:name w:val="ListLabel 1984"/>
    <w:qFormat/>
    <w:rPr>
      <w:rFonts w:cs="OpenSymbol"/>
    </w:rPr>
  </w:style>
  <w:style w:type="character" w:styleId="ListLabel1985" w:customStyle="1">
    <w:name w:val="ListLabel 1985"/>
    <w:qFormat/>
    <w:rPr>
      <w:rFonts w:cs="OpenSymbol"/>
    </w:rPr>
  </w:style>
  <w:style w:type="character" w:styleId="ListLabel1986" w:customStyle="1">
    <w:name w:val="ListLabel 1986"/>
    <w:qFormat/>
    <w:rPr>
      <w:rFonts w:cs="OpenSymbol"/>
    </w:rPr>
  </w:style>
  <w:style w:type="character" w:styleId="ListLabel1987" w:customStyle="1">
    <w:name w:val="ListLabel 1987"/>
    <w:qFormat/>
    <w:rPr>
      <w:rFonts w:cs="OpenSymbol"/>
    </w:rPr>
  </w:style>
  <w:style w:type="character" w:styleId="ListLabel1988" w:customStyle="1">
    <w:name w:val="ListLabel 1988"/>
    <w:qFormat/>
    <w:rPr>
      <w:rFonts w:cs="OpenSymbol"/>
    </w:rPr>
  </w:style>
  <w:style w:type="character" w:styleId="ListLabel1989" w:customStyle="1">
    <w:name w:val="ListLabel 1989"/>
    <w:qFormat/>
    <w:rPr>
      <w:rFonts w:cs="OpenSymbol"/>
    </w:rPr>
  </w:style>
  <w:style w:type="character" w:styleId="ListLabel1990" w:customStyle="1">
    <w:name w:val="ListLabel 1990"/>
    <w:qFormat/>
    <w:rPr>
      <w:rFonts w:cs="OpenSymbol"/>
    </w:rPr>
  </w:style>
  <w:style w:type="character" w:styleId="ListLabel1991" w:customStyle="1">
    <w:name w:val="ListLabel 1991"/>
    <w:qFormat/>
    <w:rPr>
      <w:rFonts w:cs="OpenSymbol"/>
    </w:rPr>
  </w:style>
  <w:style w:type="character" w:styleId="ListLabel1992" w:customStyle="1">
    <w:name w:val="ListLabel 1992"/>
    <w:qFormat/>
    <w:rPr>
      <w:rFonts w:cs="OpenSymbol"/>
    </w:rPr>
  </w:style>
  <w:style w:type="character" w:styleId="ListLabel1993" w:customStyle="1">
    <w:name w:val="ListLabel 1993"/>
    <w:qFormat/>
    <w:rPr>
      <w:rFonts w:cs="OpenSymbol"/>
    </w:rPr>
  </w:style>
  <w:style w:type="character" w:styleId="ListLabel1994" w:customStyle="1">
    <w:name w:val="ListLabel 1994"/>
    <w:qFormat/>
    <w:rPr>
      <w:rFonts w:cs="Courier New"/>
    </w:rPr>
  </w:style>
  <w:style w:type="character" w:styleId="ListLabel1995" w:customStyle="1">
    <w:name w:val="ListLabel 1995"/>
    <w:qFormat/>
    <w:rPr>
      <w:rFonts w:cs="Courier New"/>
    </w:rPr>
  </w:style>
  <w:style w:type="character" w:styleId="ListLabel1996" w:customStyle="1">
    <w:name w:val="ListLabel 1996"/>
    <w:qFormat/>
    <w:rPr>
      <w:rFonts w:cs="Courier New"/>
    </w:rPr>
  </w:style>
  <w:style w:type="character" w:styleId="ListLabel1997" w:customStyle="1">
    <w:name w:val="ListLabel 1997"/>
    <w:qFormat/>
    <w:rPr>
      <w:rFonts w:eastAsia="Tahoma" w:cs="Lohit Devanagari"/>
    </w:rPr>
  </w:style>
  <w:style w:type="character" w:styleId="ListLabel1998" w:customStyle="1">
    <w:name w:val="ListLabel 1998"/>
    <w:qFormat/>
    <w:rPr>
      <w:rFonts w:cs="Courier New"/>
    </w:rPr>
  </w:style>
  <w:style w:type="character" w:styleId="ListLabel1999" w:customStyle="1">
    <w:name w:val="ListLabel 1999"/>
    <w:qFormat/>
    <w:rPr>
      <w:rFonts w:cs="Courier New"/>
    </w:rPr>
  </w:style>
  <w:style w:type="character" w:styleId="ListLabel2000" w:customStyle="1">
    <w:name w:val="ListLabel 2000"/>
    <w:qFormat/>
    <w:rPr>
      <w:rFonts w:cs="Courier New"/>
    </w:rPr>
  </w:style>
  <w:style w:type="character" w:styleId="ListLabel2001" w:customStyle="1">
    <w:name w:val="ListLabel 2001"/>
    <w:qFormat/>
    <w:rPr>
      <w:rFonts w:eastAsia="Tahoma" w:cs="Lohit Devanagari"/>
    </w:rPr>
  </w:style>
  <w:style w:type="character" w:styleId="ListLabel2002" w:customStyle="1">
    <w:name w:val="ListLabel 2002"/>
    <w:qFormat/>
    <w:rPr>
      <w:rFonts w:cs="Courier New"/>
    </w:rPr>
  </w:style>
  <w:style w:type="character" w:styleId="ListLabel2003" w:customStyle="1">
    <w:name w:val="ListLabel 2003"/>
    <w:qFormat/>
    <w:rPr>
      <w:rFonts w:cs="Courier New"/>
    </w:rPr>
  </w:style>
  <w:style w:type="character" w:styleId="ListLabel2004" w:customStyle="1">
    <w:name w:val="ListLabel 2004"/>
    <w:qFormat/>
    <w:rPr>
      <w:rFonts w:cs="Courier New"/>
    </w:rPr>
  </w:style>
  <w:style w:type="character" w:styleId="ListLabel2005" w:customStyle="1">
    <w:name w:val="ListLabel 2005"/>
    <w:qFormat/>
    <w:rPr>
      <w:rFonts w:eastAsia="Tahoma" w:cs="Lohit Devanagari"/>
      <w:sz w:val="20"/>
    </w:rPr>
  </w:style>
  <w:style w:type="character" w:styleId="ListLabel2006" w:customStyle="1">
    <w:name w:val="ListLabel 2006"/>
    <w:qFormat/>
    <w:rPr>
      <w:rFonts w:cs="Courier New"/>
    </w:rPr>
  </w:style>
  <w:style w:type="character" w:styleId="ListLabel2007" w:customStyle="1">
    <w:name w:val="ListLabel 2007"/>
    <w:qFormat/>
    <w:rPr>
      <w:rFonts w:cs="Courier New"/>
    </w:rPr>
  </w:style>
  <w:style w:type="character" w:styleId="ListLabel2008" w:customStyle="1">
    <w:name w:val="ListLabel 2008"/>
    <w:qFormat/>
    <w:rPr>
      <w:rFonts w:cs="Courier New"/>
    </w:rPr>
  </w:style>
  <w:style w:type="character" w:styleId="ListLabel2009" w:customStyle="1">
    <w:name w:val="ListLabel 2009"/>
    <w:qFormat/>
    <w:rPr>
      <w:rFonts w:eastAsia="Tahoma" w:cs="Lohit Devanagari"/>
    </w:rPr>
  </w:style>
  <w:style w:type="character" w:styleId="ListLabel2010" w:customStyle="1">
    <w:name w:val="ListLabel 2010"/>
    <w:qFormat/>
    <w:rPr>
      <w:rFonts w:cs="Courier New"/>
    </w:rPr>
  </w:style>
  <w:style w:type="character" w:styleId="ListLabel2011" w:customStyle="1">
    <w:name w:val="ListLabel 2011"/>
    <w:qFormat/>
    <w:rPr>
      <w:rFonts w:cs="Courier New"/>
    </w:rPr>
  </w:style>
  <w:style w:type="character" w:styleId="ListLabel2012" w:customStyle="1">
    <w:name w:val="ListLabel 2012"/>
    <w:qFormat/>
    <w:rPr>
      <w:rFonts w:cs="Courier New"/>
    </w:rPr>
  </w:style>
  <w:style w:type="character" w:styleId="ListLabel2013" w:customStyle="1">
    <w:name w:val="ListLabel 2013"/>
    <w:qFormat/>
    <w:rPr>
      <w:rFonts w:cs="Courier New"/>
    </w:rPr>
  </w:style>
  <w:style w:type="character" w:styleId="ListLabel2014" w:customStyle="1">
    <w:name w:val="ListLabel 2014"/>
    <w:qFormat/>
    <w:rPr>
      <w:rFonts w:cs="Courier New"/>
    </w:rPr>
  </w:style>
  <w:style w:type="character" w:styleId="ListLabel2015" w:customStyle="1">
    <w:name w:val="ListLabel 2015"/>
    <w:qFormat/>
    <w:rPr>
      <w:rFonts w:cs="Courier New"/>
    </w:rPr>
  </w:style>
  <w:style w:type="character" w:styleId="ListLabel2016" w:customStyle="1">
    <w:name w:val="ListLabel 2016"/>
    <w:qFormat/>
    <w:rPr>
      <w:szCs w:val="20"/>
    </w:rPr>
  </w:style>
  <w:style w:type="character" w:styleId="ListLabel2017" w:customStyle="1">
    <w:name w:val="ListLabel 2017"/>
    <w:qFormat/>
    <w:rPr/>
  </w:style>
  <w:style w:type="character" w:styleId="ListLabel2018" w:customStyle="1">
    <w:name w:val="ListLabel 2018"/>
    <w:qFormat/>
    <w:rPr>
      <w:szCs w:val="20"/>
      <w:u w:val="none"/>
    </w:rPr>
  </w:style>
  <w:style w:type="character" w:styleId="ListLabel2019" w:customStyle="1">
    <w:name w:val="ListLabel 2019"/>
    <w:qFormat/>
    <w:rPr>
      <w:szCs w:val="20"/>
    </w:rPr>
  </w:style>
  <w:style w:type="character" w:styleId="ListLabel2020" w:customStyle="1">
    <w:name w:val="ListLabel 2020"/>
    <w:qFormat/>
    <w:rPr/>
  </w:style>
  <w:style w:type="character" w:styleId="ListLabel2021" w:customStyle="1">
    <w:name w:val="ListLabel 2021"/>
    <w:qFormat/>
    <w:rPr>
      <w:sz w:val="20"/>
      <w:szCs w:val="20"/>
      <w:u w:val="none"/>
    </w:rPr>
  </w:style>
  <w:style w:type="character" w:styleId="ListLabel2022" w:customStyle="1">
    <w:name w:val="ListLabel 2022"/>
    <w:qFormat/>
    <w:rPr/>
  </w:style>
  <w:style w:type="character" w:styleId="ListLabel2023" w:customStyle="1">
    <w:name w:val="ListLabel 2023"/>
    <w:qFormat/>
    <w:rPr/>
  </w:style>
  <w:style w:type="character" w:styleId="ListLabel2024" w:customStyle="1">
    <w:name w:val="ListLabel 2024"/>
    <w:qFormat/>
    <w:rPr/>
  </w:style>
  <w:style w:type="character" w:styleId="ListLabel2025" w:customStyle="1">
    <w:name w:val="ListLabel 2025"/>
    <w:qFormat/>
    <w:rPr>
      <w:rFonts w:cs="OpenSymbol"/>
      <w:sz w:val="20"/>
    </w:rPr>
  </w:style>
  <w:style w:type="character" w:styleId="ListLabel2026" w:customStyle="1">
    <w:name w:val="ListLabel 2026"/>
    <w:qFormat/>
    <w:rPr>
      <w:rFonts w:cs="OpenSymbol"/>
    </w:rPr>
  </w:style>
  <w:style w:type="character" w:styleId="ListLabel2027" w:customStyle="1">
    <w:name w:val="ListLabel 2027"/>
    <w:qFormat/>
    <w:rPr>
      <w:rFonts w:cs="OpenSymbol"/>
    </w:rPr>
  </w:style>
  <w:style w:type="character" w:styleId="ListLabel2028" w:customStyle="1">
    <w:name w:val="ListLabel 2028"/>
    <w:qFormat/>
    <w:rPr>
      <w:rFonts w:cs="OpenSymbol"/>
    </w:rPr>
  </w:style>
  <w:style w:type="character" w:styleId="ListLabel2029" w:customStyle="1">
    <w:name w:val="ListLabel 2029"/>
    <w:qFormat/>
    <w:rPr>
      <w:rFonts w:cs="OpenSymbol"/>
    </w:rPr>
  </w:style>
  <w:style w:type="character" w:styleId="ListLabel2030" w:customStyle="1">
    <w:name w:val="ListLabel 2030"/>
    <w:qFormat/>
    <w:rPr>
      <w:rFonts w:cs="OpenSymbol"/>
    </w:rPr>
  </w:style>
  <w:style w:type="character" w:styleId="ListLabel2031" w:customStyle="1">
    <w:name w:val="ListLabel 2031"/>
    <w:qFormat/>
    <w:rPr>
      <w:rFonts w:cs="OpenSymbol"/>
    </w:rPr>
  </w:style>
  <w:style w:type="character" w:styleId="ListLabel2032" w:customStyle="1">
    <w:name w:val="ListLabel 2032"/>
    <w:qFormat/>
    <w:rPr>
      <w:rFonts w:cs="OpenSymbol"/>
    </w:rPr>
  </w:style>
  <w:style w:type="character" w:styleId="ListLabel2033" w:customStyle="1">
    <w:name w:val="ListLabel 2033"/>
    <w:qFormat/>
    <w:rPr>
      <w:rFonts w:cs="OpenSymbol"/>
    </w:rPr>
  </w:style>
  <w:style w:type="character" w:styleId="ListLabel2034" w:customStyle="1">
    <w:name w:val="ListLabel 2034"/>
    <w:qFormat/>
    <w:rPr>
      <w:rFonts w:cs="OpenSymbol"/>
      <w:sz w:val="20"/>
    </w:rPr>
  </w:style>
  <w:style w:type="character" w:styleId="ListLabel2035" w:customStyle="1">
    <w:name w:val="ListLabel 2035"/>
    <w:qFormat/>
    <w:rPr>
      <w:rFonts w:cs="OpenSymbol"/>
    </w:rPr>
  </w:style>
  <w:style w:type="character" w:styleId="ListLabel2036" w:customStyle="1">
    <w:name w:val="ListLabel 2036"/>
    <w:qFormat/>
    <w:rPr>
      <w:rFonts w:cs="OpenSymbol"/>
    </w:rPr>
  </w:style>
  <w:style w:type="character" w:styleId="ListLabel2037" w:customStyle="1">
    <w:name w:val="ListLabel 2037"/>
    <w:qFormat/>
    <w:rPr>
      <w:rFonts w:cs="OpenSymbol"/>
    </w:rPr>
  </w:style>
  <w:style w:type="character" w:styleId="ListLabel2038" w:customStyle="1">
    <w:name w:val="ListLabel 2038"/>
    <w:qFormat/>
    <w:rPr>
      <w:rFonts w:cs="OpenSymbol"/>
    </w:rPr>
  </w:style>
  <w:style w:type="character" w:styleId="ListLabel2039" w:customStyle="1">
    <w:name w:val="ListLabel 2039"/>
    <w:qFormat/>
    <w:rPr>
      <w:rFonts w:cs="OpenSymbol"/>
    </w:rPr>
  </w:style>
  <w:style w:type="character" w:styleId="ListLabel2040" w:customStyle="1">
    <w:name w:val="ListLabel 2040"/>
    <w:qFormat/>
    <w:rPr>
      <w:rFonts w:cs="OpenSymbol"/>
    </w:rPr>
  </w:style>
  <w:style w:type="character" w:styleId="ListLabel2041" w:customStyle="1">
    <w:name w:val="ListLabel 2041"/>
    <w:qFormat/>
    <w:rPr>
      <w:rFonts w:cs="OpenSymbol"/>
    </w:rPr>
  </w:style>
  <w:style w:type="character" w:styleId="ListLabel2042" w:customStyle="1">
    <w:name w:val="ListLabel 2042"/>
    <w:qFormat/>
    <w:rPr>
      <w:rFonts w:cs="OpenSymbol"/>
    </w:rPr>
  </w:style>
  <w:style w:type="character" w:styleId="ListLabel2043" w:customStyle="1">
    <w:name w:val="ListLabel 2043"/>
    <w:qFormat/>
    <w:rPr>
      <w:rFonts w:cs="OpenSymbol"/>
      <w:sz w:val="20"/>
    </w:rPr>
  </w:style>
  <w:style w:type="character" w:styleId="ListLabel2044" w:customStyle="1">
    <w:name w:val="ListLabel 2044"/>
    <w:qFormat/>
    <w:rPr>
      <w:rFonts w:cs="OpenSymbol"/>
    </w:rPr>
  </w:style>
  <w:style w:type="character" w:styleId="ListLabel2045" w:customStyle="1">
    <w:name w:val="ListLabel 2045"/>
    <w:qFormat/>
    <w:rPr>
      <w:rFonts w:cs="OpenSymbol"/>
    </w:rPr>
  </w:style>
  <w:style w:type="character" w:styleId="ListLabel2046" w:customStyle="1">
    <w:name w:val="ListLabel 2046"/>
    <w:qFormat/>
    <w:rPr>
      <w:rFonts w:cs="OpenSymbol"/>
    </w:rPr>
  </w:style>
  <w:style w:type="character" w:styleId="ListLabel2047" w:customStyle="1">
    <w:name w:val="ListLabel 2047"/>
    <w:qFormat/>
    <w:rPr>
      <w:rFonts w:cs="OpenSymbol"/>
    </w:rPr>
  </w:style>
  <w:style w:type="character" w:styleId="ListLabel2048" w:customStyle="1">
    <w:name w:val="ListLabel 2048"/>
    <w:qFormat/>
    <w:rPr>
      <w:rFonts w:cs="OpenSymbol"/>
    </w:rPr>
  </w:style>
  <w:style w:type="character" w:styleId="ListLabel2049" w:customStyle="1">
    <w:name w:val="ListLabel 2049"/>
    <w:qFormat/>
    <w:rPr>
      <w:rFonts w:cs="OpenSymbol"/>
    </w:rPr>
  </w:style>
  <w:style w:type="character" w:styleId="ListLabel2050" w:customStyle="1">
    <w:name w:val="ListLabel 2050"/>
    <w:qFormat/>
    <w:rPr>
      <w:rFonts w:cs="OpenSymbol"/>
    </w:rPr>
  </w:style>
  <w:style w:type="character" w:styleId="ListLabel2051" w:customStyle="1">
    <w:name w:val="ListLabel 2051"/>
    <w:qFormat/>
    <w:rPr>
      <w:rFonts w:cs="OpenSymbol"/>
    </w:rPr>
  </w:style>
  <w:style w:type="character" w:styleId="ListLabel2052" w:customStyle="1">
    <w:name w:val="ListLabel 2052"/>
    <w:qFormat/>
    <w:rPr>
      <w:rFonts w:cs="OpenSymbol"/>
      <w:sz w:val="20"/>
    </w:rPr>
  </w:style>
  <w:style w:type="character" w:styleId="ListLabel2053" w:customStyle="1">
    <w:name w:val="ListLabel 2053"/>
    <w:qFormat/>
    <w:rPr>
      <w:rFonts w:cs="OpenSymbol"/>
    </w:rPr>
  </w:style>
  <w:style w:type="character" w:styleId="ListLabel2054" w:customStyle="1">
    <w:name w:val="ListLabel 2054"/>
    <w:qFormat/>
    <w:rPr>
      <w:rFonts w:cs="OpenSymbol"/>
    </w:rPr>
  </w:style>
  <w:style w:type="character" w:styleId="ListLabel2055" w:customStyle="1">
    <w:name w:val="ListLabel 2055"/>
    <w:qFormat/>
    <w:rPr>
      <w:rFonts w:cs="OpenSymbol"/>
    </w:rPr>
  </w:style>
  <w:style w:type="character" w:styleId="ListLabel2056" w:customStyle="1">
    <w:name w:val="ListLabel 2056"/>
    <w:qFormat/>
    <w:rPr>
      <w:rFonts w:cs="OpenSymbol"/>
    </w:rPr>
  </w:style>
  <w:style w:type="character" w:styleId="ListLabel2057" w:customStyle="1">
    <w:name w:val="ListLabel 2057"/>
    <w:qFormat/>
    <w:rPr>
      <w:rFonts w:cs="OpenSymbol"/>
    </w:rPr>
  </w:style>
  <w:style w:type="character" w:styleId="ListLabel2058" w:customStyle="1">
    <w:name w:val="ListLabel 2058"/>
    <w:qFormat/>
    <w:rPr>
      <w:rFonts w:cs="OpenSymbol"/>
    </w:rPr>
  </w:style>
  <w:style w:type="character" w:styleId="ListLabel2059" w:customStyle="1">
    <w:name w:val="ListLabel 2059"/>
    <w:qFormat/>
    <w:rPr>
      <w:rFonts w:cs="OpenSymbol"/>
    </w:rPr>
  </w:style>
  <w:style w:type="character" w:styleId="ListLabel2060" w:customStyle="1">
    <w:name w:val="ListLabel 2060"/>
    <w:qFormat/>
    <w:rPr>
      <w:rFonts w:cs="OpenSymbol"/>
    </w:rPr>
  </w:style>
  <w:style w:type="character" w:styleId="ListLabel2061" w:customStyle="1">
    <w:name w:val="ListLabel 2061"/>
    <w:qFormat/>
    <w:rPr>
      <w:rFonts w:cs="OpenSymbol"/>
      <w:sz w:val="20"/>
    </w:rPr>
  </w:style>
  <w:style w:type="character" w:styleId="ListLabel2062" w:customStyle="1">
    <w:name w:val="ListLabel 2062"/>
    <w:qFormat/>
    <w:rPr>
      <w:rFonts w:cs="OpenSymbol"/>
    </w:rPr>
  </w:style>
  <w:style w:type="character" w:styleId="ListLabel2063" w:customStyle="1">
    <w:name w:val="ListLabel 2063"/>
    <w:qFormat/>
    <w:rPr>
      <w:rFonts w:cs="OpenSymbol"/>
    </w:rPr>
  </w:style>
  <w:style w:type="character" w:styleId="ListLabel2064" w:customStyle="1">
    <w:name w:val="ListLabel 2064"/>
    <w:qFormat/>
    <w:rPr>
      <w:rFonts w:cs="OpenSymbol"/>
    </w:rPr>
  </w:style>
  <w:style w:type="character" w:styleId="ListLabel2065" w:customStyle="1">
    <w:name w:val="ListLabel 2065"/>
    <w:qFormat/>
    <w:rPr>
      <w:rFonts w:cs="OpenSymbol"/>
    </w:rPr>
  </w:style>
  <w:style w:type="character" w:styleId="ListLabel2066" w:customStyle="1">
    <w:name w:val="ListLabel 2066"/>
    <w:qFormat/>
    <w:rPr>
      <w:rFonts w:cs="OpenSymbol"/>
    </w:rPr>
  </w:style>
  <w:style w:type="character" w:styleId="ListLabel2067" w:customStyle="1">
    <w:name w:val="ListLabel 2067"/>
    <w:qFormat/>
    <w:rPr>
      <w:rFonts w:cs="OpenSymbol"/>
    </w:rPr>
  </w:style>
  <w:style w:type="character" w:styleId="ListLabel2068" w:customStyle="1">
    <w:name w:val="ListLabel 2068"/>
    <w:qFormat/>
    <w:rPr>
      <w:rFonts w:cs="OpenSymbol"/>
    </w:rPr>
  </w:style>
  <w:style w:type="character" w:styleId="ListLabel2069" w:customStyle="1">
    <w:name w:val="ListLabel 2069"/>
    <w:qFormat/>
    <w:rPr>
      <w:rFonts w:cs="OpenSymbol"/>
    </w:rPr>
  </w:style>
  <w:style w:type="character" w:styleId="ListLabel2070" w:customStyle="1">
    <w:name w:val="ListLabel 2070"/>
    <w:qFormat/>
    <w:rPr>
      <w:rFonts w:cs="OpenSymbol"/>
      <w:sz w:val="20"/>
    </w:rPr>
  </w:style>
  <w:style w:type="character" w:styleId="ListLabel2071" w:customStyle="1">
    <w:name w:val="ListLabel 2071"/>
    <w:qFormat/>
    <w:rPr>
      <w:rFonts w:cs="Courier New"/>
    </w:rPr>
  </w:style>
  <w:style w:type="character" w:styleId="ListLabel2072" w:customStyle="1">
    <w:name w:val="ListLabel 2072"/>
    <w:qFormat/>
    <w:rPr>
      <w:rFonts w:cs="Wingdings"/>
    </w:rPr>
  </w:style>
  <w:style w:type="character" w:styleId="ListLabel2073" w:customStyle="1">
    <w:name w:val="ListLabel 2073"/>
    <w:qFormat/>
    <w:rPr>
      <w:rFonts w:cs="Symbol"/>
    </w:rPr>
  </w:style>
  <w:style w:type="character" w:styleId="ListLabel2074" w:customStyle="1">
    <w:name w:val="ListLabel 2074"/>
    <w:qFormat/>
    <w:rPr>
      <w:rFonts w:cs="Courier New"/>
    </w:rPr>
  </w:style>
  <w:style w:type="character" w:styleId="ListLabel2075" w:customStyle="1">
    <w:name w:val="ListLabel 2075"/>
    <w:qFormat/>
    <w:rPr>
      <w:rFonts w:cs="Wingdings"/>
    </w:rPr>
  </w:style>
  <w:style w:type="character" w:styleId="ListLabel2076" w:customStyle="1">
    <w:name w:val="ListLabel 2076"/>
    <w:qFormat/>
    <w:rPr>
      <w:rFonts w:cs="Symbol"/>
    </w:rPr>
  </w:style>
  <w:style w:type="character" w:styleId="ListLabel2077" w:customStyle="1">
    <w:name w:val="ListLabel 2077"/>
    <w:qFormat/>
    <w:rPr>
      <w:rFonts w:cs="Courier New"/>
    </w:rPr>
  </w:style>
  <w:style w:type="character" w:styleId="ListLabel2078" w:customStyle="1">
    <w:name w:val="ListLabel 2078"/>
    <w:qFormat/>
    <w:rPr>
      <w:rFonts w:cs="Wingdings"/>
    </w:rPr>
  </w:style>
  <w:style w:type="character" w:styleId="ListLabel2079" w:customStyle="1">
    <w:name w:val="ListLabel 2079"/>
    <w:qFormat/>
    <w:rPr>
      <w:rFonts w:cs="Times New Roman"/>
      <w:sz w:val="20"/>
    </w:rPr>
  </w:style>
  <w:style w:type="character" w:styleId="ListLabel2080" w:customStyle="1">
    <w:name w:val="ListLabel 2080"/>
    <w:qFormat/>
    <w:rPr>
      <w:rFonts w:cs="Courier New"/>
    </w:rPr>
  </w:style>
  <w:style w:type="character" w:styleId="ListLabel2081" w:customStyle="1">
    <w:name w:val="ListLabel 2081"/>
    <w:qFormat/>
    <w:rPr>
      <w:rFonts w:cs="Wingdings"/>
    </w:rPr>
  </w:style>
  <w:style w:type="character" w:styleId="ListLabel2082" w:customStyle="1">
    <w:name w:val="ListLabel 2082"/>
    <w:qFormat/>
    <w:rPr>
      <w:rFonts w:cs="Symbol"/>
    </w:rPr>
  </w:style>
  <w:style w:type="character" w:styleId="ListLabel2083" w:customStyle="1">
    <w:name w:val="ListLabel 2083"/>
    <w:qFormat/>
    <w:rPr>
      <w:rFonts w:cs="Courier New"/>
    </w:rPr>
  </w:style>
  <w:style w:type="character" w:styleId="ListLabel2084" w:customStyle="1">
    <w:name w:val="ListLabel 2084"/>
    <w:qFormat/>
    <w:rPr>
      <w:rFonts w:cs="Wingdings"/>
    </w:rPr>
  </w:style>
  <w:style w:type="character" w:styleId="ListLabel2085" w:customStyle="1">
    <w:name w:val="ListLabel 2085"/>
    <w:qFormat/>
    <w:rPr>
      <w:rFonts w:cs="Symbol"/>
    </w:rPr>
  </w:style>
  <w:style w:type="character" w:styleId="ListLabel2086" w:customStyle="1">
    <w:name w:val="ListLabel 2086"/>
    <w:qFormat/>
    <w:rPr>
      <w:rFonts w:cs="Courier New"/>
    </w:rPr>
  </w:style>
  <w:style w:type="character" w:styleId="ListLabel2087" w:customStyle="1">
    <w:name w:val="ListLabel 2087"/>
    <w:qFormat/>
    <w:rPr>
      <w:rFonts w:cs="Wingdings"/>
    </w:rPr>
  </w:style>
  <w:style w:type="character" w:styleId="ListLabel2088" w:customStyle="1">
    <w:name w:val="ListLabel 2088"/>
    <w:qFormat/>
    <w:rPr>
      <w:rFonts w:cs="Symbol"/>
    </w:rPr>
  </w:style>
  <w:style w:type="character" w:styleId="ListLabel2089" w:customStyle="1">
    <w:name w:val="ListLabel 2089"/>
    <w:qFormat/>
    <w:rPr>
      <w:rFonts w:cs="Times New Roman"/>
      <w:sz w:val="20"/>
    </w:rPr>
  </w:style>
  <w:style w:type="character" w:styleId="ListLabel2090" w:customStyle="1">
    <w:name w:val="ListLabel 2090"/>
    <w:qFormat/>
    <w:rPr>
      <w:rFonts w:cs="Times New Roman"/>
      <w:sz w:val="16"/>
    </w:rPr>
  </w:style>
  <w:style w:type="character" w:styleId="ListLabel2091" w:customStyle="1">
    <w:name w:val="ListLabel 2091"/>
    <w:qFormat/>
    <w:rPr>
      <w:rFonts w:cs="Courier New"/>
    </w:rPr>
  </w:style>
  <w:style w:type="character" w:styleId="ListLabel2092" w:customStyle="1">
    <w:name w:val="ListLabel 2092"/>
    <w:qFormat/>
    <w:rPr>
      <w:rFonts w:cs="Wingdings"/>
    </w:rPr>
  </w:style>
  <w:style w:type="character" w:styleId="ListLabel2093" w:customStyle="1">
    <w:name w:val="ListLabel 2093"/>
    <w:qFormat/>
    <w:rPr>
      <w:rFonts w:cs="Symbol"/>
    </w:rPr>
  </w:style>
  <w:style w:type="character" w:styleId="ListLabel2094" w:customStyle="1">
    <w:name w:val="ListLabel 2094"/>
    <w:qFormat/>
    <w:rPr>
      <w:rFonts w:cs="Courier New"/>
    </w:rPr>
  </w:style>
  <w:style w:type="character" w:styleId="ListLabel2095" w:customStyle="1">
    <w:name w:val="ListLabel 2095"/>
    <w:qFormat/>
    <w:rPr>
      <w:rFonts w:cs="Wingdings"/>
    </w:rPr>
  </w:style>
  <w:style w:type="character" w:styleId="ListLabel2096" w:customStyle="1">
    <w:name w:val="ListLabel 2096"/>
    <w:qFormat/>
    <w:rPr>
      <w:rFonts w:cs="Symbol"/>
    </w:rPr>
  </w:style>
  <w:style w:type="character" w:styleId="ListLabel2097" w:customStyle="1">
    <w:name w:val="ListLabel 2097"/>
    <w:qFormat/>
    <w:rPr>
      <w:rFonts w:cs="Courier New"/>
    </w:rPr>
  </w:style>
  <w:style w:type="character" w:styleId="ListLabel2098" w:customStyle="1">
    <w:name w:val="ListLabel 2098"/>
    <w:qFormat/>
    <w:rPr>
      <w:rFonts w:cs="Wingdings"/>
    </w:rPr>
  </w:style>
  <w:style w:type="character" w:styleId="ListLabel2099" w:customStyle="1">
    <w:name w:val="ListLabel 2099"/>
    <w:qFormat/>
    <w:rPr>
      <w:rFonts w:cs="Symbol"/>
      <w:sz w:val="20"/>
    </w:rPr>
  </w:style>
  <w:style w:type="character" w:styleId="ListLabel2100" w:customStyle="1">
    <w:name w:val="ListLabel 2100"/>
    <w:qFormat/>
    <w:rPr>
      <w:rFonts w:cs="Courier New"/>
    </w:rPr>
  </w:style>
  <w:style w:type="character" w:styleId="ListLabel2101" w:customStyle="1">
    <w:name w:val="ListLabel 2101"/>
    <w:qFormat/>
    <w:rPr>
      <w:rFonts w:cs="Wingdings"/>
    </w:rPr>
  </w:style>
  <w:style w:type="character" w:styleId="ListLabel2102" w:customStyle="1">
    <w:name w:val="ListLabel 2102"/>
    <w:qFormat/>
    <w:rPr>
      <w:rFonts w:cs="Symbol"/>
    </w:rPr>
  </w:style>
  <w:style w:type="character" w:styleId="ListLabel2103" w:customStyle="1">
    <w:name w:val="ListLabel 2103"/>
    <w:qFormat/>
    <w:rPr>
      <w:rFonts w:cs="Courier New"/>
    </w:rPr>
  </w:style>
  <w:style w:type="character" w:styleId="ListLabel2104" w:customStyle="1">
    <w:name w:val="ListLabel 2104"/>
    <w:qFormat/>
    <w:rPr>
      <w:rFonts w:cs="Wingdings"/>
    </w:rPr>
  </w:style>
  <w:style w:type="character" w:styleId="ListLabel2105" w:customStyle="1">
    <w:name w:val="ListLabel 2105"/>
    <w:qFormat/>
    <w:rPr>
      <w:rFonts w:cs="Symbol"/>
    </w:rPr>
  </w:style>
  <w:style w:type="character" w:styleId="ListLabel2106" w:customStyle="1">
    <w:name w:val="ListLabel 2106"/>
    <w:qFormat/>
    <w:rPr>
      <w:rFonts w:cs="Courier New"/>
    </w:rPr>
  </w:style>
  <w:style w:type="character" w:styleId="ListLabel2107" w:customStyle="1">
    <w:name w:val="ListLabel 2107"/>
    <w:qFormat/>
    <w:rPr>
      <w:rFonts w:cs="Wingdings"/>
    </w:rPr>
  </w:style>
  <w:style w:type="character" w:styleId="ListLabel2108" w:customStyle="1">
    <w:name w:val="ListLabel 2108"/>
    <w:qFormat/>
    <w:rPr>
      <w:rFonts w:cs="OpenSymbol"/>
    </w:rPr>
  </w:style>
  <w:style w:type="character" w:styleId="ListLabel2109" w:customStyle="1">
    <w:name w:val="ListLabel 2109"/>
    <w:qFormat/>
    <w:rPr>
      <w:rFonts w:cs="OpenSymbol"/>
    </w:rPr>
  </w:style>
  <w:style w:type="character" w:styleId="ListLabel2110" w:customStyle="1">
    <w:name w:val="ListLabel 2110"/>
    <w:qFormat/>
    <w:rPr>
      <w:rFonts w:cs="OpenSymbol"/>
    </w:rPr>
  </w:style>
  <w:style w:type="character" w:styleId="ListLabel2111" w:customStyle="1">
    <w:name w:val="ListLabel 2111"/>
    <w:qFormat/>
    <w:rPr>
      <w:rFonts w:cs="OpenSymbol"/>
    </w:rPr>
  </w:style>
  <w:style w:type="character" w:styleId="ListLabel2112" w:customStyle="1">
    <w:name w:val="ListLabel 2112"/>
    <w:qFormat/>
    <w:rPr>
      <w:rFonts w:cs="OpenSymbol"/>
    </w:rPr>
  </w:style>
  <w:style w:type="character" w:styleId="ListLabel2113" w:customStyle="1">
    <w:name w:val="ListLabel 2113"/>
    <w:qFormat/>
    <w:rPr>
      <w:rFonts w:cs="OpenSymbol"/>
    </w:rPr>
  </w:style>
  <w:style w:type="character" w:styleId="ListLabel2114" w:customStyle="1">
    <w:name w:val="ListLabel 2114"/>
    <w:qFormat/>
    <w:rPr>
      <w:rFonts w:cs="OpenSymbol"/>
    </w:rPr>
  </w:style>
  <w:style w:type="character" w:styleId="ListLabel2115" w:customStyle="1">
    <w:name w:val="ListLabel 2115"/>
    <w:qFormat/>
    <w:rPr>
      <w:rFonts w:cs="OpenSymbol"/>
    </w:rPr>
  </w:style>
  <w:style w:type="character" w:styleId="ListLabel2116" w:customStyle="1">
    <w:name w:val="ListLabel 2116"/>
    <w:qFormat/>
    <w:rPr>
      <w:rFonts w:cs="OpenSymbol"/>
    </w:rPr>
  </w:style>
  <w:style w:type="character" w:styleId="ListLabel2117" w:customStyle="1">
    <w:name w:val="ListLabel 2117"/>
    <w:qFormat/>
    <w:rPr>
      <w:rFonts w:cs="OpenSymbol"/>
    </w:rPr>
  </w:style>
  <w:style w:type="character" w:styleId="ListLabel2118" w:customStyle="1">
    <w:name w:val="ListLabel 2118"/>
    <w:qFormat/>
    <w:rPr>
      <w:rFonts w:cs="OpenSymbol"/>
    </w:rPr>
  </w:style>
  <w:style w:type="character" w:styleId="ListLabel2119" w:customStyle="1">
    <w:name w:val="ListLabel 2119"/>
    <w:qFormat/>
    <w:rPr>
      <w:rFonts w:cs="OpenSymbol"/>
    </w:rPr>
  </w:style>
  <w:style w:type="character" w:styleId="ListLabel2120" w:customStyle="1">
    <w:name w:val="ListLabel 2120"/>
    <w:qFormat/>
    <w:rPr>
      <w:rFonts w:cs="OpenSymbol"/>
    </w:rPr>
  </w:style>
  <w:style w:type="character" w:styleId="ListLabel2121" w:customStyle="1">
    <w:name w:val="ListLabel 2121"/>
    <w:qFormat/>
    <w:rPr>
      <w:rFonts w:cs="OpenSymbol"/>
    </w:rPr>
  </w:style>
  <w:style w:type="character" w:styleId="ListLabel2122" w:customStyle="1">
    <w:name w:val="ListLabel 2122"/>
    <w:qFormat/>
    <w:rPr>
      <w:rFonts w:cs="OpenSymbol"/>
    </w:rPr>
  </w:style>
  <w:style w:type="character" w:styleId="ListLabel2123" w:customStyle="1">
    <w:name w:val="ListLabel 2123"/>
    <w:qFormat/>
    <w:rPr>
      <w:rFonts w:cs="OpenSymbol"/>
    </w:rPr>
  </w:style>
  <w:style w:type="character" w:styleId="ListLabel2124" w:customStyle="1">
    <w:name w:val="ListLabel 2124"/>
    <w:qFormat/>
    <w:rPr>
      <w:rFonts w:cs="OpenSymbol"/>
    </w:rPr>
  </w:style>
  <w:style w:type="character" w:styleId="ListLabel2125" w:customStyle="1">
    <w:name w:val="ListLabel 2125"/>
    <w:qFormat/>
    <w:rPr>
      <w:rFonts w:cs="OpenSymbol"/>
    </w:rPr>
  </w:style>
  <w:style w:type="character" w:styleId="ListLabel2126" w:customStyle="1">
    <w:name w:val="ListLabel 2126"/>
    <w:qFormat/>
    <w:rPr>
      <w:rFonts w:cs="OpenSymbol"/>
    </w:rPr>
  </w:style>
  <w:style w:type="character" w:styleId="ListLabel2127" w:customStyle="1">
    <w:name w:val="ListLabel 2127"/>
    <w:qFormat/>
    <w:rPr>
      <w:rFonts w:cs="OpenSymbol"/>
    </w:rPr>
  </w:style>
  <w:style w:type="character" w:styleId="ListLabel2128" w:customStyle="1">
    <w:name w:val="ListLabel 2128"/>
    <w:qFormat/>
    <w:rPr>
      <w:rFonts w:cs="OpenSymbol"/>
    </w:rPr>
  </w:style>
  <w:style w:type="character" w:styleId="ListLabel2129" w:customStyle="1">
    <w:name w:val="ListLabel 2129"/>
    <w:qFormat/>
    <w:rPr>
      <w:rFonts w:cs="OpenSymbol"/>
    </w:rPr>
  </w:style>
  <w:style w:type="character" w:styleId="ListLabel2130" w:customStyle="1">
    <w:name w:val="ListLabel 2130"/>
    <w:qFormat/>
    <w:rPr>
      <w:rFonts w:cs="OpenSymbol"/>
    </w:rPr>
  </w:style>
  <w:style w:type="character" w:styleId="ListLabel2131" w:customStyle="1">
    <w:name w:val="ListLabel 2131"/>
    <w:qFormat/>
    <w:rPr>
      <w:rFonts w:cs="OpenSymbol"/>
    </w:rPr>
  </w:style>
  <w:style w:type="character" w:styleId="ListLabel2132" w:customStyle="1">
    <w:name w:val="ListLabel 2132"/>
    <w:qFormat/>
    <w:rPr>
      <w:rFonts w:cs="OpenSymbol"/>
    </w:rPr>
  </w:style>
  <w:style w:type="character" w:styleId="ListLabel2133" w:customStyle="1">
    <w:name w:val="ListLabel 2133"/>
    <w:qFormat/>
    <w:rPr>
      <w:rFonts w:cs="OpenSymbol"/>
    </w:rPr>
  </w:style>
  <w:style w:type="character" w:styleId="ListLabel2134" w:customStyle="1">
    <w:name w:val="ListLabel 2134"/>
    <w:qFormat/>
    <w:rPr>
      <w:rFonts w:cs="OpenSymbol"/>
    </w:rPr>
  </w:style>
  <w:style w:type="character" w:styleId="ListLabel2135" w:customStyle="1">
    <w:name w:val="ListLabel 2135"/>
    <w:qFormat/>
    <w:rPr>
      <w:rFonts w:cs="OpenSymbol"/>
    </w:rPr>
  </w:style>
  <w:style w:type="character" w:styleId="ListLabel2136" w:customStyle="1">
    <w:name w:val="ListLabel 2136"/>
    <w:qFormat/>
    <w:rPr>
      <w:rFonts w:cs="OpenSymbol"/>
    </w:rPr>
  </w:style>
  <w:style w:type="character" w:styleId="ListLabel2137" w:customStyle="1">
    <w:name w:val="ListLabel 2137"/>
    <w:qFormat/>
    <w:rPr>
      <w:rFonts w:cs="OpenSymbol"/>
    </w:rPr>
  </w:style>
  <w:style w:type="character" w:styleId="ListLabel2138" w:customStyle="1">
    <w:name w:val="ListLabel 2138"/>
    <w:qFormat/>
    <w:rPr>
      <w:rFonts w:cs="OpenSymbol"/>
    </w:rPr>
  </w:style>
  <w:style w:type="character" w:styleId="ListLabel2139" w:customStyle="1">
    <w:name w:val="ListLabel 2139"/>
    <w:qFormat/>
    <w:rPr>
      <w:rFonts w:cs="OpenSymbol"/>
    </w:rPr>
  </w:style>
  <w:style w:type="character" w:styleId="ListLabel2140" w:customStyle="1">
    <w:name w:val="ListLabel 2140"/>
    <w:qFormat/>
    <w:rPr>
      <w:rFonts w:cs="OpenSymbol"/>
    </w:rPr>
  </w:style>
  <w:style w:type="character" w:styleId="ListLabel2141" w:customStyle="1">
    <w:name w:val="ListLabel 2141"/>
    <w:qFormat/>
    <w:rPr>
      <w:rFonts w:cs="OpenSymbol"/>
    </w:rPr>
  </w:style>
  <w:style w:type="character" w:styleId="ListLabel2142" w:customStyle="1">
    <w:name w:val="ListLabel 2142"/>
    <w:qFormat/>
    <w:rPr>
      <w:rFonts w:cs="OpenSymbol"/>
    </w:rPr>
  </w:style>
  <w:style w:type="character" w:styleId="ListLabel2143" w:customStyle="1">
    <w:name w:val="ListLabel 2143"/>
    <w:qFormat/>
    <w:rPr>
      <w:rFonts w:cs="OpenSymbol"/>
    </w:rPr>
  </w:style>
  <w:style w:type="character" w:styleId="ListLabel2144" w:customStyle="1">
    <w:name w:val="ListLabel 2144"/>
    <w:qFormat/>
    <w:rPr>
      <w:rFonts w:cs="Lohit Devanagari"/>
    </w:rPr>
  </w:style>
  <w:style w:type="character" w:styleId="ListLabel2145" w:customStyle="1">
    <w:name w:val="ListLabel 2145"/>
    <w:qFormat/>
    <w:rPr>
      <w:rFonts w:cs="Courier New"/>
    </w:rPr>
  </w:style>
  <w:style w:type="character" w:styleId="ListLabel2146" w:customStyle="1">
    <w:name w:val="ListLabel 2146"/>
    <w:qFormat/>
    <w:rPr>
      <w:rFonts w:cs="Wingdings"/>
    </w:rPr>
  </w:style>
  <w:style w:type="character" w:styleId="ListLabel2147" w:customStyle="1">
    <w:name w:val="ListLabel 2147"/>
    <w:qFormat/>
    <w:rPr>
      <w:rFonts w:cs="Symbol"/>
    </w:rPr>
  </w:style>
  <w:style w:type="character" w:styleId="ListLabel2148" w:customStyle="1">
    <w:name w:val="ListLabel 2148"/>
    <w:qFormat/>
    <w:rPr>
      <w:rFonts w:cs="Courier New"/>
    </w:rPr>
  </w:style>
  <w:style w:type="character" w:styleId="ListLabel2149" w:customStyle="1">
    <w:name w:val="ListLabel 2149"/>
    <w:qFormat/>
    <w:rPr>
      <w:rFonts w:cs="Wingdings"/>
    </w:rPr>
  </w:style>
  <w:style w:type="character" w:styleId="ListLabel2150" w:customStyle="1">
    <w:name w:val="ListLabel 2150"/>
    <w:qFormat/>
    <w:rPr>
      <w:rFonts w:cs="Symbol"/>
    </w:rPr>
  </w:style>
  <w:style w:type="character" w:styleId="ListLabel2151" w:customStyle="1">
    <w:name w:val="ListLabel 2151"/>
    <w:qFormat/>
    <w:rPr>
      <w:rFonts w:cs="Courier New"/>
    </w:rPr>
  </w:style>
  <w:style w:type="character" w:styleId="ListLabel2152" w:customStyle="1">
    <w:name w:val="ListLabel 2152"/>
    <w:qFormat/>
    <w:rPr>
      <w:rFonts w:cs="Wingdings"/>
    </w:rPr>
  </w:style>
  <w:style w:type="character" w:styleId="ListLabel2153" w:customStyle="1">
    <w:name w:val="ListLabel 2153"/>
    <w:qFormat/>
    <w:rPr>
      <w:rFonts w:cs="Lohit Devanagari"/>
      <w:sz w:val="20"/>
    </w:rPr>
  </w:style>
  <w:style w:type="character" w:styleId="ListLabel2154" w:customStyle="1">
    <w:name w:val="ListLabel 2154"/>
    <w:qFormat/>
    <w:rPr>
      <w:rFonts w:cs="Courier New"/>
    </w:rPr>
  </w:style>
  <w:style w:type="character" w:styleId="ListLabel2155" w:customStyle="1">
    <w:name w:val="ListLabel 2155"/>
    <w:qFormat/>
    <w:rPr>
      <w:rFonts w:cs="Wingdings"/>
    </w:rPr>
  </w:style>
  <w:style w:type="character" w:styleId="ListLabel2156" w:customStyle="1">
    <w:name w:val="ListLabel 2156"/>
    <w:qFormat/>
    <w:rPr>
      <w:rFonts w:cs="Symbol"/>
    </w:rPr>
  </w:style>
  <w:style w:type="character" w:styleId="ListLabel2157" w:customStyle="1">
    <w:name w:val="ListLabel 2157"/>
    <w:qFormat/>
    <w:rPr>
      <w:rFonts w:cs="Courier New"/>
    </w:rPr>
  </w:style>
  <w:style w:type="character" w:styleId="ListLabel2158" w:customStyle="1">
    <w:name w:val="ListLabel 2158"/>
    <w:qFormat/>
    <w:rPr>
      <w:rFonts w:cs="Wingdings"/>
    </w:rPr>
  </w:style>
  <w:style w:type="character" w:styleId="ListLabel2159" w:customStyle="1">
    <w:name w:val="ListLabel 2159"/>
    <w:qFormat/>
    <w:rPr>
      <w:rFonts w:cs="Symbol"/>
    </w:rPr>
  </w:style>
  <w:style w:type="character" w:styleId="ListLabel2160" w:customStyle="1">
    <w:name w:val="ListLabel 2160"/>
    <w:qFormat/>
    <w:rPr>
      <w:rFonts w:cs="Courier New"/>
    </w:rPr>
  </w:style>
  <w:style w:type="character" w:styleId="ListLabel2161" w:customStyle="1">
    <w:name w:val="ListLabel 2161"/>
    <w:qFormat/>
    <w:rPr>
      <w:rFonts w:cs="Wingdings"/>
    </w:rPr>
  </w:style>
  <w:style w:type="character" w:styleId="ListLabel2162" w:customStyle="1">
    <w:name w:val="ListLabel 2162"/>
    <w:qFormat/>
    <w:rPr>
      <w:rFonts w:cs="Lohit Devanagari"/>
    </w:rPr>
  </w:style>
  <w:style w:type="character" w:styleId="ListLabel2163" w:customStyle="1">
    <w:name w:val="ListLabel 2163"/>
    <w:qFormat/>
    <w:rPr>
      <w:rFonts w:cs="Courier New"/>
    </w:rPr>
  </w:style>
  <w:style w:type="character" w:styleId="ListLabel2164" w:customStyle="1">
    <w:name w:val="ListLabel 2164"/>
    <w:qFormat/>
    <w:rPr>
      <w:rFonts w:cs="Wingdings"/>
    </w:rPr>
  </w:style>
  <w:style w:type="character" w:styleId="ListLabel2165" w:customStyle="1">
    <w:name w:val="ListLabel 2165"/>
    <w:qFormat/>
    <w:rPr>
      <w:rFonts w:cs="Symbol"/>
    </w:rPr>
  </w:style>
  <w:style w:type="character" w:styleId="ListLabel2166" w:customStyle="1">
    <w:name w:val="ListLabel 2166"/>
    <w:qFormat/>
    <w:rPr>
      <w:rFonts w:cs="Courier New"/>
    </w:rPr>
  </w:style>
  <w:style w:type="character" w:styleId="ListLabel2167" w:customStyle="1">
    <w:name w:val="ListLabel 2167"/>
    <w:qFormat/>
    <w:rPr>
      <w:rFonts w:cs="Wingdings"/>
    </w:rPr>
  </w:style>
  <w:style w:type="character" w:styleId="ListLabel2168" w:customStyle="1">
    <w:name w:val="ListLabel 2168"/>
    <w:qFormat/>
    <w:rPr>
      <w:rFonts w:cs="Symbol"/>
    </w:rPr>
  </w:style>
  <w:style w:type="character" w:styleId="ListLabel2169" w:customStyle="1">
    <w:name w:val="ListLabel 2169"/>
    <w:qFormat/>
    <w:rPr>
      <w:rFonts w:cs="Courier New"/>
    </w:rPr>
  </w:style>
  <w:style w:type="character" w:styleId="ListLabel2170" w:customStyle="1">
    <w:name w:val="ListLabel 2170"/>
    <w:qFormat/>
    <w:rPr>
      <w:rFonts w:cs="Wingdings"/>
    </w:rPr>
  </w:style>
  <w:style w:type="character" w:styleId="ListLabel2171" w:customStyle="1">
    <w:name w:val="ListLabel 2171"/>
    <w:qFormat/>
    <w:rPr>
      <w:rFonts w:cs="Symbol"/>
      <w:sz w:val="20"/>
    </w:rPr>
  </w:style>
  <w:style w:type="character" w:styleId="ListLabel2172" w:customStyle="1">
    <w:name w:val="ListLabel 2172"/>
    <w:qFormat/>
    <w:rPr>
      <w:rFonts w:cs="Courier New"/>
    </w:rPr>
  </w:style>
  <w:style w:type="character" w:styleId="ListLabel2173" w:customStyle="1">
    <w:name w:val="ListLabel 2173"/>
    <w:qFormat/>
    <w:rPr>
      <w:rFonts w:cs="Wingdings"/>
    </w:rPr>
  </w:style>
  <w:style w:type="character" w:styleId="ListLabel2174" w:customStyle="1">
    <w:name w:val="ListLabel 2174"/>
    <w:qFormat/>
    <w:rPr>
      <w:rFonts w:cs="Symbol"/>
    </w:rPr>
  </w:style>
  <w:style w:type="character" w:styleId="ListLabel2175" w:customStyle="1">
    <w:name w:val="ListLabel 2175"/>
    <w:qFormat/>
    <w:rPr>
      <w:rFonts w:cs="Courier New"/>
    </w:rPr>
  </w:style>
  <w:style w:type="character" w:styleId="ListLabel2176" w:customStyle="1">
    <w:name w:val="ListLabel 2176"/>
    <w:qFormat/>
    <w:rPr>
      <w:rFonts w:cs="Wingdings"/>
    </w:rPr>
  </w:style>
  <w:style w:type="character" w:styleId="ListLabel2177" w:customStyle="1">
    <w:name w:val="ListLabel 2177"/>
    <w:qFormat/>
    <w:rPr>
      <w:rFonts w:cs="Symbol"/>
    </w:rPr>
  </w:style>
  <w:style w:type="character" w:styleId="ListLabel2178" w:customStyle="1">
    <w:name w:val="ListLabel 2178"/>
    <w:qFormat/>
    <w:rPr>
      <w:rFonts w:cs="Courier New"/>
    </w:rPr>
  </w:style>
  <w:style w:type="character" w:styleId="ListLabel2179" w:customStyle="1">
    <w:name w:val="ListLabel 2179"/>
    <w:qFormat/>
    <w:rPr>
      <w:rFonts w:cs="Wingdings"/>
    </w:rPr>
  </w:style>
  <w:style w:type="character" w:styleId="ListLabel2180" w:customStyle="1">
    <w:name w:val="ListLabel 2180"/>
    <w:qFormat/>
    <w:rPr>
      <w:szCs w:val="20"/>
    </w:rPr>
  </w:style>
  <w:style w:type="character" w:styleId="ListLabel2181" w:customStyle="1">
    <w:name w:val="ListLabel 2181"/>
    <w:qFormat/>
    <w:rPr/>
  </w:style>
  <w:style w:type="character" w:styleId="ListLabel2182" w:customStyle="1">
    <w:name w:val="ListLabel 2182"/>
    <w:qFormat/>
    <w:rPr>
      <w:szCs w:val="20"/>
      <w:u w:val="none"/>
    </w:rPr>
  </w:style>
  <w:style w:type="character" w:styleId="ListLabel2183" w:customStyle="1">
    <w:name w:val="ListLabel 2183"/>
    <w:qFormat/>
    <w:rPr/>
  </w:style>
  <w:style w:type="character" w:styleId="ListLabel2184" w:customStyle="1">
    <w:name w:val="ListLabel 2184"/>
    <w:qFormat/>
    <w:rPr>
      <w:sz w:val="20"/>
      <w:szCs w:val="20"/>
      <w:u w:val="none"/>
    </w:rPr>
  </w:style>
  <w:style w:type="character" w:styleId="ListLabel2185" w:customStyle="1">
    <w:name w:val="ListLabel 2185"/>
    <w:qFormat/>
    <w:rPr/>
  </w:style>
  <w:style w:type="character" w:styleId="ListLabel2186" w:customStyle="1">
    <w:name w:val="ListLabel 2186"/>
    <w:qFormat/>
    <w:rPr/>
  </w:style>
  <w:style w:type="character" w:styleId="ListLabel2187" w:customStyle="1">
    <w:name w:val="ListLabel 2187"/>
    <w:qFormat/>
    <w:rPr/>
  </w:style>
  <w:style w:type="character" w:styleId="ListLabel2188">
    <w:name w:val="ListLabel 2188"/>
    <w:qFormat/>
    <w:rPr>
      <w:rFonts w:cs="OpenSymbol"/>
      <w:sz w:val="20"/>
    </w:rPr>
  </w:style>
  <w:style w:type="character" w:styleId="ListLabel2189">
    <w:name w:val="ListLabel 2189"/>
    <w:qFormat/>
    <w:rPr>
      <w:rFonts w:cs="OpenSymbol"/>
    </w:rPr>
  </w:style>
  <w:style w:type="character" w:styleId="ListLabel2190">
    <w:name w:val="ListLabel 2190"/>
    <w:qFormat/>
    <w:rPr>
      <w:rFonts w:cs="OpenSymbol"/>
    </w:rPr>
  </w:style>
  <w:style w:type="character" w:styleId="ListLabel2191">
    <w:name w:val="ListLabel 2191"/>
    <w:qFormat/>
    <w:rPr>
      <w:rFonts w:cs="OpenSymbol"/>
    </w:rPr>
  </w:style>
  <w:style w:type="character" w:styleId="ListLabel2192">
    <w:name w:val="ListLabel 2192"/>
    <w:qFormat/>
    <w:rPr>
      <w:rFonts w:cs="OpenSymbol"/>
    </w:rPr>
  </w:style>
  <w:style w:type="character" w:styleId="ListLabel2193">
    <w:name w:val="ListLabel 2193"/>
    <w:qFormat/>
    <w:rPr>
      <w:rFonts w:cs="OpenSymbol"/>
    </w:rPr>
  </w:style>
  <w:style w:type="character" w:styleId="ListLabel2194">
    <w:name w:val="ListLabel 2194"/>
    <w:qFormat/>
    <w:rPr>
      <w:rFonts w:cs="OpenSymbol"/>
    </w:rPr>
  </w:style>
  <w:style w:type="character" w:styleId="ListLabel2195">
    <w:name w:val="ListLabel 2195"/>
    <w:qFormat/>
    <w:rPr>
      <w:rFonts w:cs="OpenSymbol"/>
    </w:rPr>
  </w:style>
  <w:style w:type="character" w:styleId="ListLabel2196">
    <w:name w:val="ListLabel 2196"/>
    <w:qFormat/>
    <w:rPr>
      <w:rFonts w:cs="OpenSymbol"/>
    </w:rPr>
  </w:style>
  <w:style w:type="character" w:styleId="ListLabel2197">
    <w:name w:val="ListLabel 2197"/>
    <w:qFormat/>
    <w:rPr>
      <w:rFonts w:cs="OpenSymbol"/>
      <w:sz w:val="20"/>
    </w:rPr>
  </w:style>
  <w:style w:type="character" w:styleId="ListLabel2198">
    <w:name w:val="ListLabel 2198"/>
    <w:qFormat/>
    <w:rPr>
      <w:rFonts w:cs="OpenSymbol"/>
    </w:rPr>
  </w:style>
  <w:style w:type="character" w:styleId="ListLabel2199">
    <w:name w:val="ListLabel 2199"/>
    <w:qFormat/>
    <w:rPr>
      <w:rFonts w:cs="OpenSymbol"/>
    </w:rPr>
  </w:style>
  <w:style w:type="character" w:styleId="ListLabel2200">
    <w:name w:val="ListLabel 2200"/>
    <w:qFormat/>
    <w:rPr>
      <w:rFonts w:cs="OpenSymbol"/>
    </w:rPr>
  </w:style>
  <w:style w:type="character" w:styleId="ListLabel2201">
    <w:name w:val="ListLabel 2201"/>
    <w:qFormat/>
    <w:rPr>
      <w:rFonts w:cs="OpenSymbol"/>
    </w:rPr>
  </w:style>
  <w:style w:type="character" w:styleId="ListLabel2202">
    <w:name w:val="ListLabel 2202"/>
    <w:qFormat/>
    <w:rPr>
      <w:rFonts w:cs="OpenSymbol"/>
    </w:rPr>
  </w:style>
  <w:style w:type="character" w:styleId="ListLabel2203">
    <w:name w:val="ListLabel 2203"/>
    <w:qFormat/>
    <w:rPr>
      <w:rFonts w:cs="OpenSymbol"/>
    </w:rPr>
  </w:style>
  <w:style w:type="character" w:styleId="ListLabel2204">
    <w:name w:val="ListLabel 2204"/>
    <w:qFormat/>
    <w:rPr>
      <w:rFonts w:cs="OpenSymbol"/>
    </w:rPr>
  </w:style>
  <w:style w:type="character" w:styleId="ListLabel2205">
    <w:name w:val="ListLabel 2205"/>
    <w:qFormat/>
    <w:rPr>
      <w:rFonts w:cs="OpenSymbol"/>
    </w:rPr>
  </w:style>
  <w:style w:type="character" w:styleId="ListLabel2206">
    <w:name w:val="ListLabel 2206"/>
    <w:qFormat/>
    <w:rPr>
      <w:rFonts w:cs="OpenSymbol"/>
      <w:sz w:val="20"/>
    </w:rPr>
  </w:style>
  <w:style w:type="character" w:styleId="ListLabel2207">
    <w:name w:val="ListLabel 2207"/>
    <w:qFormat/>
    <w:rPr>
      <w:rFonts w:cs="OpenSymbol"/>
    </w:rPr>
  </w:style>
  <w:style w:type="character" w:styleId="ListLabel2208">
    <w:name w:val="ListLabel 2208"/>
    <w:qFormat/>
    <w:rPr>
      <w:rFonts w:cs="OpenSymbol"/>
    </w:rPr>
  </w:style>
  <w:style w:type="character" w:styleId="ListLabel2209">
    <w:name w:val="ListLabel 2209"/>
    <w:qFormat/>
    <w:rPr>
      <w:rFonts w:cs="OpenSymbol"/>
    </w:rPr>
  </w:style>
  <w:style w:type="character" w:styleId="ListLabel2210">
    <w:name w:val="ListLabel 2210"/>
    <w:qFormat/>
    <w:rPr>
      <w:rFonts w:cs="OpenSymbol"/>
    </w:rPr>
  </w:style>
  <w:style w:type="character" w:styleId="ListLabel2211">
    <w:name w:val="ListLabel 2211"/>
    <w:qFormat/>
    <w:rPr>
      <w:rFonts w:cs="OpenSymbol"/>
    </w:rPr>
  </w:style>
  <w:style w:type="character" w:styleId="ListLabel2212">
    <w:name w:val="ListLabel 2212"/>
    <w:qFormat/>
    <w:rPr>
      <w:rFonts w:cs="OpenSymbol"/>
    </w:rPr>
  </w:style>
  <w:style w:type="character" w:styleId="ListLabel2213">
    <w:name w:val="ListLabel 2213"/>
    <w:qFormat/>
    <w:rPr>
      <w:rFonts w:cs="OpenSymbol"/>
    </w:rPr>
  </w:style>
  <w:style w:type="character" w:styleId="ListLabel2214">
    <w:name w:val="ListLabel 2214"/>
    <w:qFormat/>
    <w:rPr>
      <w:rFonts w:cs="OpenSymbol"/>
    </w:rPr>
  </w:style>
  <w:style w:type="character" w:styleId="ListLabel2215">
    <w:name w:val="ListLabel 2215"/>
    <w:qFormat/>
    <w:rPr>
      <w:rFonts w:cs="OpenSymbol"/>
      <w:sz w:val="20"/>
    </w:rPr>
  </w:style>
  <w:style w:type="character" w:styleId="ListLabel2216">
    <w:name w:val="ListLabel 2216"/>
    <w:qFormat/>
    <w:rPr>
      <w:rFonts w:cs="OpenSymbol"/>
    </w:rPr>
  </w:style>
  <w:style w:type="character" w:styleId="ListLabel2217">
    <w:name w:val="ListLabel 2217"/>
    <w:qFormat/>
    <w:rPr>
      <w:rFonts w:cs="OpenSymbol"/>
    </w:rPr>
  </w:style>
  <w:style w:type="character" w:styleId="ListLabel2218">
    <w:name w:val="ListLabel 2218"/>
    <w:qFormat/>
    <w:rPr>
      <w:rFonts w:cs="OpenSymbol"/>
    </w:rPr>
  </w:style>
  <w:style w:type="character" w:styleId="ListLabel2219">
    <w:name w:val="ListLabel 2219"/>
    <w:qFormat/>
    <w:rPr>
      <w:rFonts w:cs="OpenSymbol"/>
    </w:rPr>
  </w:style>
  <w:style w:type="character" w:styleId="ListLabel2220">
    <w:name w:val="ListLabel 2220"/>
    <w:qFormat/>
    <w:rPr>
      <w:rFonts w:cs="OpenSymbol"/>
    </w:rPr>
  </w:style>
  <w:style w:type="character" w:styleId="ListLabel2221">
    <w:name w:val="ListLabel 2221"/>
    <w:qFormat/>
    <w:rPr>
      <w:rFonts w:cs="OpenSymbol"/>
    </w:rPr>
  </w:style>
  <w:style w:type="character" w:styleId="ListLabel2222">
    <w:name w:val="ListLabel 2222"/>
    <w:qFormat/>
    <w:rPr>
      <w:rFonts w:cs="OpenSymbol"/>
    </w:rPr>
  </w:style>
  <w:style w:type="character" w:styleId="ListLabel2223">
    <w:name w:val="ListLabel 2223"/>
    <w:qFormat/>
    <w:rPr>
      <w:rFonts w:cs="OpenSymbol"/>
    </w:rPr>
  </w:style>
  <w:style w:type="character" w:styleId="ListLabel2224">
    <w:name w:val="ListLabel 2224"/>
    <w:qFormat/>
    <w:rPr>
      <w:rFonts w:cs="OpenSymbol"/>
      <w:sz w:val="20"/>
    </w:rPr>
  </w:style>
  <w:style w:type="character" w:styleId="ListLabel2225">
    <w:name w:val="ListLabel 2225"/>
    <w:qFormat/>
    <w:rPr>
      <w:rFonts w:cs="OpenSymbol"/>
    </w:rPr>
  </w:style>
  <w:style w:type="character" w:styleId="ListLabel2226">
    <w:name w:val="ListLabel 2226"/>
    <w:qFormat/>
    <w:rPr>
      <w:rFonts w:cs="OpenSymbol"/>
    </w:rPr>
  </w:style>
  <w:style w:type="character" w:styleId="ListLabel2227">
    <w:name w:val="ListLabel 2227"/>
    <w:qFormat/>
    <w:rPr>
      <w:rFonts w:cs="OpenSymbol"/>
    </w:rPr>
  </w:style>
  <w:style w:type="character" w:styleId="ListLabel2228">
    <w:name w:val="ListLabel 2228"/>
    <w:qFormat/>
    <w:rPr>
      <w:rFonts w:cs="OpenSymbol"/>
    </w:rPr>
  </w:style>
  <w:style w:type="character" w:styleId="ListLabel2229">
    <w:name w:val="ListLabel 2229"/>
    <w:qFormat/>
    <w:rPr>
      <w:rFonts w:cs="OpenSymbol"/>
    </w:rPr>
  </w:style>
  <w:style w:type="character" w:styleId="ListLabel2230">
    <w:name w:val="ListLabel 2230"/>
    <w:qFormat/>
    <w:rPr>
      <w:rFonts w:cs="OpenSymbol"/>
    </w:rPr>
  </w:style>
  <w:style w:type="character" w:styleId="ListLabel2231">
    <w:name w:val="ListLabel 2231"/>
    <w:qFormat/>
    <w:rPr>
      <w:rFonts w:cs="OpenSymbol"/>
    </w:rPr>
  </w:style>
  <w:style w:type="character" w:styleId="ListLabel2232">
    <w:name w:val="ListLabel 2232"/>
    <w:qFormat/>
    <w:rPr>
      <w:rFonts w:cs="OpenSymbol"/>
    </w:rPr>
  </w:style>
  <w:style w:type="character" w:styleId="ListLabel2233">
    <w:name w:val="ListLabel 2233"/>
    <w:qFormat/>
    <w:rPr>
      <w:rFonts w:cs="OpenSymbol"/>
      <w:sz w:val="20"/>
    </w:rPr>
  </w:style>
  <w:style w:type="character" w:styleId="ListLabel2234">
    <w:name w:val="ListLabel 2234"/>
    <w:qFormat/>
    <w:rPr>
      <w:rFonts w:cs="Courier New"/>
    </w:rPr>
  </w:style>
  <w:style w:type="character" w:styleId="ListLabel2235">
    <w:name w:val="ListLabel 2235"/>
    <w:qFormat/>
    <w:rPr>
      <w:rFonts w:cs="Wingdings"/>
    </w:rPr>
  </w:style>
  <w:style w:type="character" w:styleId="ListLabel2236">
    <w:name w:val="ListLabel 2236"/>
    <w:qFormat/>
    <w:rPr>
      <w:rFonts w:cs="Symbol"/>
    </w:rPr>
  </w:style>
  <w:style w:type="character" w:styleId="ListLabel2237">
    <w:name w:val="ListLabel 2237"/>
    <w:qFormat/>
    <w:rPr>
      <w:rFonts w:cs="Courier New"/>
    </w:rPr>
  </w:style>
  <w:style w:type="character" w:styleId="ListLabel2238">
    <w:name w:val="ListLabel 2238"/>
    <w:qFormat/>
    <w:rPr>
      <w:rFonts w:cs="Wingdings"/>
    </w:rPr>
  </w:style>
  <w:style w:type="character" w:styleId="ListLabel2239">
    <w:name w:val="ListLabel 2239"/>
    <w:qFormat/>
    <w:rPr>
      <w:rFonts w:cs="Symbol"/>
    </w:rPr>
  </w:style>
  <w:style w:type="character" w:styleId="ListLabel2240">
    <w:name w:val="ListLabel 2240"/>
    <w:qFormat/>
    <w:rPr>
      <w:rFonts w:cs="Courier New"/>
    </w:rPr>
  </w:style>
  <w:style w:type="character" w:styleId="ListLabel2241">
    <w:name w:val="ListLabel 2241"/>
    <w:qFormat/>
    <w:rPr>
      <w:rFonts w:cs="Wingdings"/>
    </w:rPr>
  </w:style>
  <w:style w:type="character" w:styleId="ListLabel2242">
    <w:name w:val="ListLabel 2242"/>
    <w:qFormat/>
    <w:rPr>
      <w:rFonts w:cs="Times New Roman"/>
      <w:sz w:val="20"/>
    </w:rPr>
  </w:style>
  <w:style w:type="character" w:styleId="ListLabel2243">
    <w:name w:val="ListLabel 2243"/>
    <w:qFormat/>
    <w:rPr>
      <w:rFonts w:cs="Courier New"/>
    </w:rPr>
  </w:style>
  <w:style w:type="character" w:styleId="ListLabel2244">
    <w:name w:val="ListLabel 2244"/>
    <w:qFormat/>
    <w:rPr>
      <w:rFonts w:cs="Wingdings"/>
    </w:rPr>
  </w:style>
  <w:style w:type="character" w:styleId="ListLabel2245">
    <w:name w:val="ListLabel 2245"/>
    <w:qFormat/>
    <w:rPr>
      <w:rFonts w:cs="Symbol"/>
    </w:rPr>
  </w:style>
  <w:style w:type="character" w:styleId="ListLabel2246">
    <w:name w:val="ListLabel 2246"/>
    <w:qFormat/>
    <w:rPr>
      <w:rFonts w:cs="Courier New"/>
    </w:rPr>
  </w:style>
  <w:style w:type="character" w:styleId="ListLabel2247">
    <w:name w:val="ListLabel 2247"/>
    <w:qFormat/>
    <w:rPr>
      <w:rFonts w:cs="Wingdings"/>
    </w:rPr>
  </w:style>
  <w:style w:type="character" w:styleId="ListLabel2248">
    <w:name w:val="ListLabel 2248"/>
    <w:qFormat/>
    <w:rPr>
      <w:rFonts w:cs="Symbol"/>
    </w:rPr>
  </w:style>
  <w:style w:type="character" w:styleId="ListLabel2249">
    <w:name w:val="ListLabel 2249"/>
    <w:qFormat/>
    <w:rPr>
      <w:rFonts w:cs="Courier New"/>
    </w:rPr>
  </w:style>
  <w:style w:type="character" w:styleId="ListLabel2250">
    <w:name w:val="ListLabel 2250"/>
    <w:qFormat/>
    <w:rPr>
      <w:rFonts w:cs="Wingdings"/>
    </w:rPr>
  </w:style>
  <w:style w:type="character" w:styleId="ListLabel2251">
    <w:name w:val="ListLabel 2251"/>
    <w:qFormat/>
    <w:rPr>
      <w:rFonts w:cs="Symbol"/>
    </w:rPr>
  </w:style>
  <w:style w:type="character" w:styleId="ListLabel2252">
    <w:name w:val="ListLabel 2252"/>
    <w:qFormat/>
    <w:rPr>
      <w:rFonts w:cs="Times New Roman"/>
      <w:sz w:val="20"/>
    </w:rPr>
  </w:style>
  <w:style w:type="character" w:styleId="ListLabel2253">
    <w:name w:val="ListLabel 2253"/>
    <w:qFormat/>
    <w:rPr>
      <w:rFonts w:cs="Times New Roman"/>
      <w:sz w:val="16"/>
    </w:rPr>
  </w:style>
  <w:style w:type="character" w:styleId="ListLabel2254">
    <w:name w:val="ListLabel 2254"/>
    <w:qFormat/>
    <w:rPr>
      <w:rFonts w:cs="Courier New"/>
    </w:rPr>
  </w:style>
  <w:style w:type="character" w:styleId="ListLabel2255">
    <w:name w:val="ListLabel 2255"/>
    <w:qFormat/>
    <w:rPr>
      <w:rFonts w:cs="Wingdings"/>
    </w:rPr>
  </w:style>
  <w:style w:type="character" w:styleId="ListLabel2256">
    <w:name w:val="ListLabel 2256"/>
    <w:qFormat/>
    <w:rPr>
      <w:rFonts w:cs="Symbol"/>
    </w:rPr>
  </w:style>
  <w:style w:type="character" w:styleId="ListLabel2257">
    <w:name w:val="ListLabel 2257"/>
    <w:qFormat/>
    <w:rPr>
      <w:rFonts w:cs="Courier New"/>
    </w:rPr>
  </w:style>
  <w:style w:type="character" w:styleId="ListLabel2258">
    <w:name w:val="ListLabel 2258"/>
    <w:qFormat/>
    <w:rPr>
      <w:rFonts w:cs="Wingdings"/>
    </w:rPr>
  </w:style>
  <w:style w:type="character" w:styleId="ListLabel2259">
    <w:name w:val="ListLabel 2259"/>
    <w:qFormat/>
    <w:rPr>
      <w:rFonts w:cs="Symbol"/>
    </w:rPr>
  </w:style>
  <w:style w:type="character" w:styleId="ListLabel2260">
    <w:name w:val="ListLabel 2260"/>
    <w:qFormat/>
    <w:rPr>
      <w:rFonts w:cs="Courier New"/>
    </w:rPr>
  </w:style>
  <w:style w:type="character" w:styleId="ListLabel2261">
    <w:name w:val="ListLabel 2261"/>
    <w:qFormat/>
    <w:rPr>
      <w:rFonts w:cs="Wingdings"/>
    </w:rPr>
  </w:style>
  <w:style w:type="character" w:styleId="ListLabel2262">
    <w:name w:val="ListLabel 2262"/>
    <w:qFormat/>
    <w:rPr>
      <w:rFonts w:cs="Symbol"/>
      <w:sz w:val="20"/>
    </w:rPr>
  </w:style>
  <w:style w:type="character" w:styleId="ListLabel2263">
    <w:name w:val="ListLabel 2263"/>
    <w:qFormat/>
    <w:rPr>
      <w:rFonts w:cs="Courier New"/>
    </w:rPr>
  </w:style>
  <w:style w:type="character" w:styleId="ListLabel2264">
    <w:name w:val="ListLabel 2264"/>
    <w:qFormat/>
    <w:rPr>
      <w:rFonts w:cs="Wingdings"/>
    </w:rPr>
  </w:style>
  <w:style w:type="character" w:styleId="ListLabel2265">
    <w:name w:val="ListLabel 2265"/>
    <w:qFormat/>
    <w:rPr>
      <w:rFonts w:cs="Symbol"/>
    </w:rPr>
  </w:style>
  <w:style w:type="character" w:styleId="ListLabel2266">
    <w:name w:val="ListLabel 2266"/>
    <w:qFormat/>
    <w:rPr>
      <w:rFonts w:cs="Courier New"/>
    </w:rPr>
  </w:style>
  <w:style w:type="character" w:styleId="ListLabel2267">
    <w:name w:val="ListLabel 2267"/>
    <w:qFormat/>
    <w:rPr>
      <w:rFonts w:cs="Wingdings"/>
    </w:rPr>
  </w:style>
  <w:style w:type="character" w:styleId="ListLabel2268">
    <w:name w:val="ListLabel 2268"/>
    <w:qFormat/>
    <w:rPr>
      <w:rFonts w:cs="Symbol"/>
    </w:rPr>
  </w:style>
  <w:style w:type="character" w:styleId="ListLabel2269">
    <w:name w:val="ListLabel 2269"/>
    <w:qFormat/>
    <w:rPr>
      <w:rFonts w:cs="Courier New"/>
    </w:rPr>
  </w:style>
  <w:style w:type="character" w:styleId="ListLabel2270">
    <w:name w:val="ListLabel 2270"/>
    <w:qFormat/>
    <w:rPr>
      <w:rFonts w:cs="Wingdings"/>
    </w:rPr>
  </w:style>
  <w:style w:type="character" w:styleId="ListLabel2271">
    <w:name w:val="ListLabel 2271"/>
    <w:qFormat/>
    <w:rPr>
      <w:rFonts w:cs="OpenSymbol"/>
    </w:rPr>
  </w:style>
  <w:style w:type="character" w:styleId="ListLabel2272">
    <w:name w:val="ListLabel 2272"/>
    <w:qFormat/>
    <w:rPr>
      <w:rFonts w:cs="OpenSymbol"/>
    </w:rPr>
  </w:style>
  <w:style w:type="character" w:styleId="ListLabel2273">
    <w:name w:val="ListLabel 2273"/>
    <w:qFormat/>
    <w:rPr>
      <w:rFonts w:cs="OpenSymbol"/>
    </w:rPr>
  </w:style>
  <w:style w:type="character" w:styleId="ListLabel2274">
    <w:name w:val="ListLabel 2274"/>
    <w:qFormat/>
    <w:rPr>
      <w:rFonts w:cs="OpenSymbol"/>
    </w:rPr>
  </w:style>
  <w:style w:type="character" w:styleId="ListLabel2275">
    <w:name w:val="ListLabel 2275"/>
    <w:qFormat/>
    <w:rPr>
      <w:rFonts w:cs="OpenSymbol"/>
    </w:rPr>
  </w:style>
  <w:style w:type="character" w:styleId="ListLabel2276">
    <w:name w:val="ListLabel 2276"/>
    <w:qFormat/>
    <w:rPr>
      <w:rFonts w:cs="OpenSymbol"/>
    </w:rPr>
  </w:style>
  <w:style w:type="character" w:styleId="ListLabel2277">
    <w:name w:val="ListLabel 2277"/>
    <w:qFormat/>
    <w:rPr>
      <w:rFonts w:cs="OpenSymbol"/>
    </w:rPr>
  </w:style>
  <w:style w:type="character" w:styleId="ListLabel2278">
    <w:name w:val="ListLabel 2278"/>
    <w:qFormat/>
    <w:rPr>
      <w:rFonts w:cs="OpenSymbol"/>
    </w:rPr>
  </w:style>
  <w:style w:type="character" w:styleId="ListLabel2279">
    <w:name w:val="ListLabel 2279"/>
    <w:qFormat/>
    <w:rPr>
      <w:rFonts w:cs="OpenSymbol"/>
    </w:rPr>
  </w:style>
  <w:style w:type="character" w:styleId="ListLabel2280">
    <w:name w:val="ListLabel 2280"/>
    <w:qFormat/>
    <w:rPr>
      <w:rFonts w:cs="OpenSymbol"/>
    </w:rPr>
  </w:style>
  <w:style w:type="character" w:styleId="ListLabel2281">
    <w:name w:val="ListLabel 2281"/>
    <w:qFormat/>
    <w:rPr>
      <w:rFonts w:cs="OpenSymbol"/>
    </w:rPr>
  </w:style>
  <w:style w:type="character" w:styleId="ListLabel2282">
    <w:name w:val="ListLabel 2282"/>
    <w:qFormat/>
    <w:rPr>
      <w:rFonts w:cs="OpenSymbol"/>
    </w:rPr>
  </w:style>
  <w:style w:type="character" w:styleId="ListLabel2283">
    <w:name w:val="ListLabel 2283"/>
    <w:qFormat/>
    <w:rPr>
      <w:rFonts w:cs="OpenSymbol"/>
    </w:rPr>
  </w:style>
  <w:style w:type="character" w:styleId="ListLabel2284">
    <w:name w:val="ListLabel 2284"/>
    <w:qFormat/>
    <w:rPr>
      <w:rFonts w:cs="OpenSymbol"/>
    </w:rPr>
  </w:style>
  <w:style w:type="character" w:styleId="ListLabel2285">
    <w:name w:val="ListLabel 2285"/>
    <w:qFormat/>
    <w:rPr>
      <w:rFonts w:cs="OpenSymbol"/>
    </w:rPr>
  </w:style>
  <w:style w:type="character" w:styleId="ListLabel2286">
    <w:name w:val="ListLabel 2286"/>
    <w:qFormat/>
    <w:rPr>
      <w:rFonts w:cs="OpenSymbol"/>
    </w:rPr>
  </w:style>
  <w:style w:type="character" w:styleId="ListLabel2287">
    <w:name w:val="ListLabel 2287"/>
    <w:qFormat/>
    <w:rPr>
      <w:rFonts w:cs="OpenSymbol"/>
    </w:rPr>
  </w:style>
  <w:style w:type="character" w:styleId="ListLabel2288">
    <w:name w:val="ListLabel 2288"/>
    <w:qFormat/>
    <w:rPr>
      <w:rFonts w:cs="OpenSymbol"/>
    </w:rPr>
  </w:style>
  <w:style w:type="character" w:styleId="ListLabel2289">
    <w:name w:val="ListLabel 2289"/>
    <w:qFormat/>
    <w:rPr>
      <w:rFonts w:cs="OpenSymbol"/>
    </w:rPr>
  </w:style>
  <w:style w:type="character" w:styleId="ListLabel2290">
    <w:name w:val="ListLabel 2290"/>
    <w:qFormat/>
    <w:rPr>
      <w:rFonts w:cs="OpenSymbol"/>
    </w:rPr>
  </w:style>
  <w:style w:type="character" w:styleId="ListLabel2291">
    <w:name w:val="ListLabel 2291"/>
    <w:qFormat/>
    <w:rPr>
      <w:rFonts w:cs="OpenSymbol"/>
    </w:rPr>
  </w:style>
  <w:style w:type="character" w:styleId="ListLabel2292">
    <w:name w:val="ListLabel 2292"/>
    <w:qFormat/>
    <w:rPr>
      <w:rFonts w:cs="OpenSymbol"/>
    </w:rPr>
  </w:style>
  <w:style w:type="character" w:styleId="ListLabel2293">
    <w:name w:val="ListLabel 2293"/>
    <w:qFormat/>
    <w:rPr>
      <w:rFonts w:cs="OpenSymbol"/>
    </w:rPr>
  </w:style>
  <w:style w:type="character" w:styleId="ListLabel2294">
    <w:name w:val="ListLabel 2294"/>
    <w:qFormat/>
    <w:rPr>
      <w:rFonts w:cs="OpenSymbol"/>
    </w:rPr>
  </w:style>
  <w:style w:type="character" w:styleId="ListLabel2295">
    <w:name w:val="ListLabel 2295"/>
    <w:qFormat/>
    <w:rPr>
      <w:rFonts w:cs="OpenSymbol"/>
    </w:rPr>
  </w:style>
  <w:style w:type="character" w:styleId="ListLabel2296">
    <w:name w:val="ListLabel 2296"/>
    <w:qFormat/>
    <w:rPr>
      <w:rFonts w:cs="OpenSymbol"/>
    </w:rPr>
  </w:style>
  <w:style w:type="character" w:styleId="ListLabel2297">
    <w:name w:val="ListLabel 2297"/>
    <w:qFormat/>
    <w:rPr>
      <w:rFonts w:cs="OpenSymbol"/>
    </w:rPr>
  </w:style>
  <w:style w:type="character" w:styleId="ListLabel2298">
    <w:name w:val="ListLabel 2298"/>
    <w:qFormat/>
    <w:rPr>
      <w:rFonts w:cs="OpenSymbol"/>
    </w:rPr>
  </w:style>
  <w:style w:type="character" w:styleId="ListLabel2299">
    <w:name w:val="ListLabel 2299"/>
    <w:qFormat/>
    <w:rPr>
      <w:rFonts w:cs="OpenSymbol"/>
    </w:rPr>
  </w:style>
  <w:style w:type="character" w:styleId="ListLabel2300">
    <w:name w:val="ListLabel 2300"/>
    <w:qFormat/>
    <w:rPr>
      <w:rFonts w:cs="OpenSymbol"/>
    </w:rPr>
  </w:style>
  <w:style w:type="character" w:styleId="ListLabel2301">
    <w:name w:val="ListLabel 2301"/>
    <w:qFormat/>
    <w:rPr>
      <w:rFonts w:cs="OpenSymbol"/>
    </w:rPr>
  </w:style>
  <w:style w:type="character" w:styleId="ListLabel2302">
    <w:name w:val="ListLabel 2302"/>
    <w:qFormat/>
    <w:rPr>
      <w:rFonts w:cs="OpenSymbol"/>
    </w:rPr>
  </w:style>
  <w:style w:type="character" w:styleId="ListLabel2303">
    <w:name w:val="ListLabel 2303"/>
    <w:qFormat/>
    <w:rPr>
      <w:rFonts w:cs="OpenSymbol"/>
    </w:rPr>
  </w:style>
  <w:style w:type="character" w:styleId="ListLabel2304">
    <w:name w:val="ListLabel 2304"/>
    <w:qFormat/>
    <w:rPr>
      <w:rFonts w:cs="OpenSymbol"/>
    </w:rPr>
  </w:style>
  <w:style w:type="character" w:styleId="ListLabel2305">
    <w:name w:val="ListLabel 2305"/>
    <w:qFormat/>
    <w:rPr>
      <w:rFonts w:cs="OpenSymbol"/>
    </w:rPr>
  </w:style>
  <w:style w:type="character" w:styleId="ListLabel2306">
    <w:name w:val="ListLabel 2306"/>
    <w:qFormat/>
    <w:rPr>
      <w:rFonts w:cs="OpenSymbol"/>
    </w:rPr>
  </w:style>
  <w:style w:type="character" w:styleId="ListLabel2307">
    <w:name w:val="ListLabel 2307"/>
    <w:qFormat/>
    <w:rPr>
      <w:rFonts w:cs="Lohit Devanagari"/>
    </w:rPr>
  </w:style>
  <w:style w:type="character" w:styleId="ListLabel2308">
    <w:name w:val="ListLabel 2308"/>
    <w:qFormat/>
    <w:rPr>
      <w:rFonts w:cs="Courier New"/>
    </w:rPr>
  </w:style>
  <w:style w:type="character" w:styleId="ListLabel2309">
    <w:name w:val="ListLabel 2309"/>
    <w:qFormat/>
    <w:rPr>
      <w:rFonts w:cs="Wingdings"/>
    </w:rPr>
  </w:style>
  <w:style w:type="character" w:styleId="ListLabel2310">
    <w:name w:val="ListLabel 2310"/>
    <w:qFormat/>
    <w:rPr>
      <w:rFonts w:cs="Symbol"/>
    </w:rPr>
  </w:style>
  <w:style w:type="character" w:styleId="ListLabel2311">
    <w:name w:val="ListLabel 2311"/>
    <w:qFormat/>
    <w:rPr>
      <w:rFonts w:cs="Courier New"/>
    </w:rPr>
  </w:style>
  <w:style w:type="character" w:styleId="ListLabel2312">
    <w:name w:val="ListLabel 2312"/>
    <w:qFormat/>
    <w:rPr>
      <w:rFonts w:cs="Wingdings"/>
    </w:rPr>
  </w:style>
  <w:style w:type="character" w:styleId="ListLabel2313">
    <w:name w:val="ListLabel 2313"/>
    <w:qFormat/>
    <w:rPr>
      <w:rFonts w:cs="Symbol"/>
    </w:rPr>
  </w:style>
  <w:style w:type="character" w:styleId="ListLabel2314">
    <w:name w:val="ListLabel 2314"/>
    <w:qFormat/>
    <w:rPr>
      <w:rFonts w:cs="Courier New"/>
    </w:rPr>
  </w:style>
  <w:style w:type="character" w:styleId="ListLabel2315">
    <w:name w:val="ListLabel 2315"/>
    <w:qFormat/>
    <w:rPr>
      <w:rFonts w:cs="Wingdings"/>
    </w:rPr>
  </w:style>
  <w:style w:type="character" w:styleId="ListLabel2316">
    <w:name w:val="ListLabel 2316"/>
    <w:qFormat/>
    <w:rPr>
      <w:rFonts w:cs="Lohit Devanagari"/>
      <w:sz w:val="20"/>
    </w:rPr>
  </w:style>
  <w:style w:type="character" w:styleId="ListLabel2317">
    <w:name w:val="ListLabel 2317"/>
    <w:qFormat/>
    <w:rPr>
      <w:rFonts w:cs="Courier New"/>
    </w:rPr>
  </w:style>
  <w:style w:type="character" w:styleId="ListLabel2318">
    <w:name w:val="ListLabel 2318"/>
    <w:qFormat/>
    <w:rPr>
      <w:rFonts w:cs="Wingdings"/>
    </w:rPr>
  </w:style>
  <w:style w:type="character" w:styleId="ListLabel2319">
    <w:name w:val="ListLabel 2319"/>
    <w:qFormat/>
    <w:rPr>
      <w:rFonts w:cs="Symbol"/>
    </w:rPr>
  </w:style>
  <w:style w:type="character" w:styleId="ListLabel2320">
    <w:name w:val="ListLabel 2320"/>
    <w:qFormat/>
    <w:rPr>
      <w:rFonts w:cs="Courier New"/>
    </w:rPr>
  </w:style>
  <w:style w:type="character" w:styleId="ListLabel2321">
    <w:name w:val="ListLabel 2321"/>
    <w:qFormat/>
    <w:rPr>
      <w:rFonts w:cs="Wingdings"/>
    </w:rPr>
  </w:style>
  <w:style w:type="character" w:styleId="ListLabel2322">
    <w:name w:val="ListLabel 2322"/>
    <w:qFormat/>
    <w:rPr>
      <w:rFonts w:cs="Symbol"/>
    </w:rPr>
  </w:style>
  <w:style w:type="character" w:styleId="ListLabel2323">
    <w:name w:val="ListLabel 2323"/>
    <w:qFormat/>
    <w:rPr>
      <w:rFonts w:cs="Courier New"/>
    </w:rPr>
  </w:style>
  <w:style w:type="character" w:styleId="ListLabel2324">
    <w:name w:val="ListLabel 2324"/>
    <w:qFormat/>
    <w:rPr>
      <w:rFonts w:cs="Wingdings"/>
    </w:rPr>
  </w:style>
  <w:style w:type="character" w:styleId="ListLabel2325">
    <w:name w:val="ListLabel 2325"/>
    <w:qFormat/>
    <w:rPr>
      <w:rFonts w:cs="Lohit Devanagari"/>
    </w:rPr>
  </w:style>
  <w:style w:type="character" w:styleId="ListLabel2326">
    <w:name w:val="ListLabel 2326"/>
    <w:qFormat/>
    <w:rPr>
      <w:rFonts w:cs="Courier New"/>
    </w:rPr>
  </w:style>
  <w:style w:type="character" w:styleId="ListLabel2327">
    <w:name w:val="ListLabel 2327"/>
    <w:qFormat/>
    <w:rPr>
      <w:rFonts w:cs="Wingdings"/>
    </w:rPr>
  </w:style>
  <w:style w:type="character" w:styleId="ListLabel2328">
    <w:name w:val="ListLabel 2328"/>
    <w:qFormat/>
    <w:rPr>
      <w:rFonts w:cs="Symbol"/>
    </w:rPr>
  </w:style>
  <w:style w:type="character" w:styleId="ListLabel2329">
    <w:name w:val="ListLabel 2329"/>
    <w:qFormat/>
    <w:rPr>
      <w:rFonts w:cs="Courier New"/>
    </w:rPr>
  </w:style>
  <w:style w:type="character" w:styleId="ListLabel2330">
    <w:name w:val="ListLabel 2330"/>
    <w:qFormat/>
    <w:rPr>
      <w:rFonts w:cs="Wingdings"/>
    </w:rPr>
  </w:style>
  <w:style w:type="character" w:styleId="ListLabel2331">
    <w:name w:val="ListLabel 2331"/>
    <w:qFormat/>
    <w:rPr>
      <w:rFonts w:cs="Symbol"/>
    </w:rPr>
  </w:style>
  <w:style w:type="character" w:styleId="ListLabel2332">
    <w:name w:val="ListLabel 2332"/>
    <w:qFormat/>
    <w:rPr>
      <w:rFonts w:cs="Courier New"/>
    </w:rPr>
  </w:style>
  <w:style w:type="character" w:styleId="ListLabel2333">
    <w:name w:val="ListLabel 2333"/>
    <w:qFormat/>
    <w:rPr>
      <w:rFonts w:cs="Wingdings"/>
    </w:rPr>
  </w:style>
  <w:style w:type="character" w:styleId="ListLabel2334">
    <w:name w:val="ListLabel 2334"/>
    <w:qFormat/>
    <w:rPr>
      <w:rFonts w:cs="Symbol"/>
      <w:sz w:val="20"/>
    </w:rPr>
  </w:style>
  <w:style w:type="character" w:styleId="ListLabel2335">
    <w:name w:val="ListLabel 2335"/>
    <w:qFormat/>
    <w:rPr>
      <w:rFonts w:cs="Courier New"/>
    </w:rPr>
  </w:style>
  <w:style w:type="character" w:styleId="ListLabel2336">
    <w:name w:val="ListLabel 2336"/>
    <w:qFormat/>
    <w:rPr>
      <w:rFonts w:cs="Wingdings"/>
    </w:rPr>
  </w:style>
  <w:style w:type="character" w:styleId="ListLabel2337">
    <w:name w:val="ListLabel 2337"/>
    <w:qFormat/>
    <w:rPr>
      <w:rFonts w:cs="Symbol"/>
    </w:rPr>
  </w:style>
  <w:style w:type="character" w:styleId="ListLabel2338">
    <w:name w:val="ListLabel 2338"/>
    <w:qFormat/>
    <w:rPr>
      <w:rFonts w:cs="Courier New"/>
    </w:rPr>
  </w:style>
  <w:style w:type="character" w:styleId="ListLabel2339">
    <w:name w:val="ListLabel 2339"/>
    <w:qFormat/>
    <w:rPr>
      <w:rFonts w:cs="Wingdings"/>
    </w:rPr>
  </w:style>
  <w:style w:type="character" w:styleId="ListLabel2340">
    <w:name w:val="ListLabel 2340"/>
    <w:qFormat/>
    <w:rPr>
      <w:rFonts w:cs="Symbol"/>
    </w:rPr>
  </w:style>
  <w:style w:type="character" w:styleId="ListLabel2341">
    <w:name w:val="ListLabel 2341"/>
    <w:qFormat/>
    <w:rPr>
      <w:rFonts w:cs="Courier New"/>
    </w:rPr>
  </w:style>
  <w:style w:type="character" w:styleId="ListLabel2342">
    <w:name w:val="ListLabel 2342"/>
    <w:qFormat/>
    <w:rPr>
      <w:rFonts w:cs="Wingdings"/>
    </w:rPr>
  </w:style>
  <w:style w:type="character" w:styleId="ListLabel2343">
    <w:name w:val="ListLabel 2343"/>
    <w:qFormat/>
    <w:rPr>
      <w:szCs w:val="20"/>
    </w:rPr>
  </w:style>
  <w:style w:type="character" w:styleId="ListLabel2344">
    <w:name w:val="ListLabel 2344"/>
    <w:qFormat/>
    <w:rPr>
      <w:szCs w:val="20"/>
      <w:u w:val="none"/>
    </w:rPr>
  </w:style>
  <w:style w:type="character" w:styleId="ListLabel2345">
    <w:name w:val="ListLabel 2345"/>
    <w:qFormat/>
    <w:rPr/>
  </w:style>
  <w:style w:type="character" w:styleId="ListLabel2346">
    <w:name w:val="ListLabel 2346"/>
    <w:qFormat/>
    <w:rPr>
      <w:sz w:val="20"/>
      <w:szCs w:val="20"/>
      <w:u w:val="none"/>
    </w:rPr>
  </w:style>
  <w:style w:type="character" w:styleId="ListLabel2347">
    <w:name w:val="ListLabel 2347"/>
    <w:qFormat/>
    <w:rPr/>
  </w:style>
  <w:style w:type="character" w:styleId="ListLabel2348">
    <w:name w:val="ListLabel 2348"/>
    <w:qFormat/>
    <w:rPr/>
  </w:style>
  <w:style w:type="character" w:styleId="ListLabel2349">
    <w:name w:val="ListLabel 2349"/>
    <w:qFormat/>
    <w:rPr/>
  </w:style>
  <w:style w:type="paragraph" w:styleId="Kop" w:customStyle="1">
    <w:name w:val="Kop"/>
    <w:basedOn w:val="Normal"/>
    <w:next w:val="Tekstblok"/>
    <w:qFormat/>
    <w:pPr>
      <w:keepNext w:val="true"/>
      <w:spacing w:before="240" w:after="120"/>
    </w:pPr>
    <w:rPr>
      <w:rFonts w:ascii="Liberation Sans" w:hAnsi="Liberation Sans"/>
      <w:sz w:val="28"/>
      <w:szCs w:val="28"/>
    </w:rPr>
  </w:style>
  <w:style w:type="paragraph" w:styleId="Tekstblok">
    <w:name w:val="Body Text"/>
    <w:basedOn w:val="Normal"/>
    <w:pPr>
      <w:spacing w:lineRule="auto" w:line="264" w:before="0" w:after="140"/>
    </w:pPr>
    <w:rPr/>
  </w:style>
  <w:style w:type="paragraph" w:styleId="Lijst">
    <w:name w:val="List"/>
    <w:basedOn w:val="Tekstblok"/>
    <w:pPr/>
    <w:rPr/>
  </w:style>
  <w:style w:type="paragraph" w:styleId="Bijschrift">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style>
  <w:style w:type="paragraph" w:styleId="Caption">
    <w:name w:val="caption"/>
    <w:basedOn w:val="Normal"/>
    <w:qFormat/>
    <w:pPr>
      <w:suppressLineNumbers/>
      <w:spacing w:before="120" w:after="120"/>
    </w:pPr>
    <w:rPr>
      <w:i/>
      <w:iCs/>
    </w:rPr>
  </w:style>
  <w:style w:type="paragraph" w:styleId="Inhoudtabel" w:customStyle="1">
    <w:name w:val="Inhoud tabel"/>
    <w:basedOn w:val="Normal"/>
    <w:qFormat/>
    <w:pPr>
      <w:suppressLineNumbers/>
    </w:pPr>
    <w:rPr/>
  </w:style>
  <w:style w:type="paragraph" w:styleId="Titel">
    <w:name w:val="Title"/>
    <w:basedOn w:val="Kop"/>
    <w:qFormat/>
    <w:pPr>
      <w:jc w:val="center"/>
    </w:pPr>
    <w:rPr>
      <w:b/>
      <w:bCs/>
      <w:sz w:val="56"/>
      <w:szCs w:val="56"/>
    </w:rPr>
  </w:style>
  <w:style w:type="paragraph" w:styleId="Subtitel">
    <w:name w:val="Subtitle"/>
    <w:basedOn w:val="Kop"/>
    <w:qFormat/>
    <w:pPr>
      <w:spacing w:before="60" w:after="120"/>
      <w:jc w:val="center"/>
    </w:pPr>
    <w:rPr>
      <w:sz w:val="36"/>
      <w:szCs w:val="36"/>
    </w:rPr>
  </w:style>
  <w:style w:type="paragraph" w:styleId="Tabelkop" w:customStyle="1">
    <w:name w:val="Tabelkop"/>
    <w:basedOn w:val="Inhoudtabel"/>
    <w:qFormat/>
    <w:pPr>
      <w:jc w:val="center"/>
    </w:pPr>
    <w:rPr>
      <w:b/>
      <w:bCs/>
    </w:rPr>
  </w:style>
  <w:style w:type="paragraph" w:styleId="Toaheading">
    <w:name w:val="toa heading"/>
    <w:basedOn w:val="Kop"/>
    <w:qFormat/>
    <w:pPr>
      <w:suppressLineNumbers/>
    </w:pPr>
    <w:rPr>
      <w:b/>
      <w:bCs/>
      <w:sz w:val="32"/>
      <w:szCs w:val="32"/>
    </w:rPr>
  </w:style>
  <w:style w:type="paragraph" w:styleId="Inhoudsopgave2">
    <w:name w:val="TOC 2"/>
    <w:basedOn w:val="Index"/>
    <w:uiPriority w:val="39"/>
    <w:pPr>
      <w:tabs>
        <w:tab w:val="clear" w:pos="709"/>
        <w:tab w:val="right" w:pos="9355" w:leader="dot"/>
      </w:tabs>
      <w:ind w:left="283" w:hanging="0"/>
    </w:pPr>
    <w:rPr/>
  </w:style>
  <w:style w:type="paragraph" w:styleId="Inhoudsopgave3">
    <w:name w:val="TOC 3"/>
    <w:basedOn w:val="Index"/>
    <w:pPr>
      <w:tabs>
        <w:tab w:val="clear" w:pos="709"/>
        <w:tab w:val="right" w:pos="9072" w:leader="dot"/>
      </w:tabs>
      <w:ind w:left="566" w:hanging="0"/>
    </w:pPr>
    <w:rPr/>
  </w:style>
  <w:style w:type="paragraph" w:styleId="Inhoudsopgave1">
    <w:name w:val="TOC 1"/>
    <w:basedOn w:val="Index"/>
    <w:uiPriority w:val="39"/>
    <w:pPr>
      <w:tabs>
        <w:tab w:val="clear" w:pos="709"/>
        <w:tab w:val="right" w:pos="9638" w:leader="dot"/>
      </w:tabs>
    </w:pPr>
    <w:rPr/>
  </w:style>
  <w:style w:type="paragraph" w:styleId="Voetnoot">
    <w:name w:val="Footnote Text"/>
    <w:basedOn w:val="Normal"/>
    <w:pPr>
      <w:suppressLineNumbers/>
      <w:ind w:left="339" w:hanging="339"/>
    </w:pPr>
    <w:rPr>
      <w:szCs w:val="20"/>
    </w:rPr>
  </w:style>
  <w:style w:type="paragraph" w:styleId="Voettekst">
    <w:name w:val="Footer"/>
    <w:basedOn w:val="Normal"/>
    <w:pPr>
      <w:suppressLineNumbers/>
      <w:tabs>
        <w:tab w:val="clear" w:pos="709"/>
        <w:tab w:val="center" w:pos="4819" w:leader="none"/>
        <w:tab w:val="right" w:pos="9638" w:leader="none"/>
      </w:tabs>
    </w:pPr>
    <w:rPr/>
  </w:style>
  <w:style w:type="paragraph" w:styleId="Annotationtext">
    <w:name w:val="annotation text"/>
    <w:basedOn w:val="Normal"/>
    <w:qFormat/>
    <w:pPr/>
    <w:rPr>
      <w:rFonts w:cs="Mangal"/>
      <w:szCs w:val="18"/>
    </w:rPr>
  </w:style>
  <w:style w:type="paragraph" w:styleId="BalloonText">
    <w:name w:val="Balloon Text"/>
    <w:basedOn w:val="Normal"/>
    <w:qFormat/>
    <w:pPr/>
    <w:rPr>
      <w:rFonts w:ascii="Tahoma" w:hAnsi="Tahoma" w:cs="Mangal"/>
      <w:sz w:val="16"/>
      <w:szCs w:val="14"/>
    </w:rPr>
  </w:style>
  <w:style w:type="paragraph" w:styleId="HuisstijlPaginanummering" w:customStyle="1">
    <w:name w:val="Huisstijl-Paginanummering"/>
    <w:basedOn w:val="Normal"/>
    <w:qFormat/>
    <w:pPr>
      <w:spacing w:lineRule="exact" w:line="180"/>
    </w:pPr>
    <w:rPr>
      <w:rFonts w:eastAsia="Times New Roman" w:cs="Times New Roman"/>
      <w:kern w:val="0"/>
      <w:sz w:val="13"/>
      <w:lang w:eastAsia="nl-NL" w:bidi="ar-SA"/>
    </w:rPr>
  </w:style>
  <w:style w:type="paragraph" w:styleId="ListParagraph">
    <w:name w:val="List Paragraph"/>
    <w:basedOn w:val="Normal"/>
    <w:qFormat/>
    <w:pPr>
      <w:spacing w:lineRule="atLeast" w:line="240" w:before="0" w:after="0"/>
      <w:ind w:left="720" w:hanging="0"/>
      <w:contextualSpacing/>
    </w:pPr>
    <w:rPr>
      <w:rFonts w:eastAsia="Times New Roman" w:cs="Times New Roman"/>
      <w:kern w:val="0"/>
      <w:sz w:val="18"/>
      <w:lang w:eastAsia="nl-NL" w:bidi="ar-SA"/>
    </w:rPr>
  </w:style>
  <w:style w:type="paragraph" w:styleId="Frameinhoud" w:customStyle="1">
    <w:name w:val="Frame-inhoud"/>
    <w:basedOn w:val="Normal"/>
    <w:qFormat/>
    <w:pPr/>
    <w:rPr/>
  </w:style>
  <w:style w:type="paragraph" w:styleId="Annotationsubject">
    <w:name w:val="annotation subject"/>
    <w:basedOn w:val="Annotationtext"/>
    <w:qFormat/>
    <w:pPr/>
    <w:rPr>
      <w:b/>
      <w:bCs/>
    </w:rPr>
  </w:style>
  <w:style w:type="numbering" w:styleId="NoList" w:default="1">
    <w:name w:val="No List"/>
    <w:uiPriority w:val="99"/>
    <w:semiHidden/>
    <w:unhideWhenUsed/>
    <w:qFormat/>
  </w:style>
  <w:style w:type="numbering" w:styleId="WW8Num2" w:customStyle="1">
    <w:name w:val="WW8Num2"/>
    <w:qFormat/>
  </w:style>
  <w:style w:type="numbering" w:styleId="WW8Num3" w:customStyle="1">
    <w:name w:val="WW8Num3"/>
    <w:qFormat/>
  </w:style>
  <w:style w:type="numbering" w:styleId="WW8Num8" w:customStyle="1">
    <w:name w:val="WW8Num8"/>
    <w:qFormat/>
  </w:style>
  <w:style w:type="numbering" w:styleId="WW8Num4" w:customStyle="1">
    <w:name w:val="WW8Num4"/>
    <w:qFormat/>
  </w:style>
  <w:style w:type="numbering" w:styleId="WW8Num5" w:customStyle="1">
    <w:name w:val="WW8Num5"/>
    <w:qFormat/>
  </w:style>
  <w:style w:type="numbering" w:styleId="WW8Num6" w:customStyle="1">
    <w:name w:val="WW8Num6"/>
    <w:qFormat/>
  </w:style>
  <w:style w:type="numbering" w:styleId="WW8Num7" w:customStyle="1">
    <w:name w:val="WW8Num7"/>
    <w:qFormat/>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table" w:styleId="Tabelraster">
    <w:name w:val="Table Grid"/>
    <w:basedOn w:val="Standaardtabel"/>
    <w:uiPriority w:val="39"/>
    <w:rsid w:val="00af279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wetten.overheid.nl/BWBR0025364/2014-08-01" TargetMode="External"/><Relationship Id="rId7" Type="http://schemas.openxmlformats.org/officeDocument/2006/relationships/hyperlink" Target="https://www.internetconsultatie.nl/uitvoeringswetavg/details" TargetMode="External"/><Relationship Id="rId8" Type="http://schemas.openxmlformats.org/officeDocument/2006/relationships/hyperlink" Target="https://www.internetconsultatie.nl/uitvoeringswetavg/document/2637" TargetMode="External"/><Relationship Id="rId9" Type="http://schemas.openxmlformats.org/officeDocument/2006/relationships/hyperlink" Target="https://www.earonline.nl/index.php/BIR-Baseline_Informatiebeveiliging_Rijksdienst" TargetMode="External"/><Relationship Id="rId10" Type="http://schemas.openxmlformats.org/officeDocument/2006/relationships/hyperlink" Target="https://www.cvte.nl/over-het-cvte" TargetMode="External"/><Relationship Id="rId11" Type="http://schemas.openxmlformats.org/officeDocument/2006/relationships/hyperlink" Target="http://wetten.overheid.nl/BWBR0007376/2015-07-18" TargetMode="External"/><Relationship Id="rId12" Type="http://schemas.openxmlformats.org/officeDocument/2006/relationships/hyperlink" Target="http://wetten.overheid.nl/BWBR0014915/2017-01-01" TargetMode="External"/><Relationship Id="rId13" Type="http://schemas.openxmlformats.org/officeDocument/2006/relationships/hyperlink" Target="https://www.internetconsultatie.nl/digitoegankelijkheid" TargetMode="External"/><Relationship Id="rId14" Type="http://schemas.openxmlformats.org/officeDocument/2006/relationships/hyperlink" Target="https://www.digitoegankelijk.nl/" TargetMode="External"/><Relationship Id="rId15" Type="http://schemas.openxmlformats.org/officeDocument/2006/relationships/hyperlink" Target="https://www.digitoegankelijk.nl/" TargetMode="External"/><Relationship Id="rId16" Type="http://schemas.openxmlformats.org/officeDocument/2006/relationships/hyperlink" Target="https://nl.wikipedia.org/wiki/Web_Content_Accessibility_Guidelines" TargetMode="External"/><Relationship Id="rId17" Type="http://schemas.openxmlformats.org/officeDocument/2006/relationships/hyperlink" Target="https://www.w3.org/standards/webdesign/accessibility" TargetMode="External"/><Relationship Id="rId18" Type="http://schemas.openxmlformats.org/officeDocument/2006/relationships/hyperlink" Target="https://www.imsglobal.org/activity/accessibility" TargetMode="External"/><Relationship Id="rId19" Type="http://schemas.openxmlformats.org/officeDocument/2006/relationships/hyperlink" Target="https://www.cvte.nl/over-het-cvte" TargetMode="External"/><Relationship Id="rId20" Type="http://schemas.openxmlformats.org/officeDocument/2006/relationships/hyperlink" Target="https://nl.wikipedia.org/wiki/ISO_25010" TargetMode="External"/><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hyperlink" Target="https://nl.wikipedia.org/wiki/Sharable_Content_Object_Reference_Model" TargetMode="External"/><Relationship Id="rId24" Type="http://schemas.openxmlformats.org/officeDocument/2006/relationships/hyperlink" Target="https://nl.wikipedia.org/wiki/QTI_(bestandstype)" TargetMode="External"/><Relationship Id="rId25" Type="http://schemas.openxmlformats.org/officeDocument/2006/relationships/hyperlink" Target="https://www2.ed.gov/programs/racetothetop/index.html" TargetMode="External"/><Relationship Id="rId26" Type="http://schemas.openxmlformats.org/officeDocument/2006/relationships/image" Target="media/image7.png"/><Relationship Id="rId27" Type="http://schemas.openxmlformats.org/officeDocument/2006/relationships/hyperlink" Target="https://docplayer.nl/5845117-Referentiekader-voor-een-programma-van-eisen-examenprocessen-mbo.html" TargetMode="External"/><Relationship Id="rId28" Type="http://schemas.openxmlformats.org/officeDocument/2006/relationships/image" Target="media/image8.png"/><Relationship Id="rId29" Type="http://schemas.openxmlformats.org/officeDocument/2006/relationships/image" Target="media/image9.png"/><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hyperlink" Target="https://www.onderwijsraad.nl/publicaties/2017/doordacht-digitaal/item7550" TargetMode="External"/><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hyperlink" Target="https://www.onderwijsraad.nl/publicaties/2017/doordacht-digitaal/item7550" TargetMode="External"/><Relationship Id="rId38" Type="http://schemas.openxmlformats.org/officeDocument/2006/relationships/hyperlink" Target="https://www.vo-raad.nl/nieuws/vo-raad-examinering-voortgezet-onderwijs-toe-aan-herijking" TargetMode="External"/><Relationship Id="rId39" Type="http://schemas.openxmlformats.org/officeDocument/2006/relationships/hyperlink" Target="http://www.surf.nl/binaries/content/assets/surf/nl/2016/rapport-toetsen-comit.pdf" TargetMode="External"/><Relationship Id="rId40" Type="http://schemas.openxmlformats.org/officeDocument/2006/relationships/hyperlink" Target="https://www.surf.nl/over-surf/samenwerking/nationale-samenwerking/comit/index.html" TargetMode="External"/><Relationship Id="rId41" Type="http://schemas.openxmlformats.org/officeDocument/2006/relationships/image" Target="media/image16.png"/><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hyperlink" Target="https://www.kennisnet.nl/publicaties/de-leermiddelenketen-in-het-onderwijs/" TargetMode="External"/><Relationship Id="rId50" Type="http://schemas.openxmlformats.org/officeDocument/2006/relationships/hyperlink" Target="https://www.kennisnet.nl/artikel/aan-de-slag-met-een-overkoepelend-dashboard-voor-meer-inzicht-in-voortgang/" TargetMode="External"/><Relationship Id="rId51" Type="http://schemas.openxmlformats.org/officeDocument/2006/relationships/image" Target="media/image24.png"/><Relationship Id="rId52" Type="http://schemas.openxmlformats.org/officeDocument/2006/relationships/image" Target="media/image25.png"/><Relationship Id="rId53" Type="http://schemas.openxmlformats.org/officeDocument/2006/relationships/footer" Target="footer1.xml"/><Relationship Id="rId54" Type="http://schemas.openxmlformats.org/officeDocument/2006/relationships/footnotes" Target="footnotes.xml"/><Relationship Id="rId55" Type="http://schemas.openxmlformats.org/officeDocument/2006/relationships/numbering" Target="numbering.xml"/><Relationship Id="rId56" Type="http://schemas.openxmlformats.org/officeDocument/2006/relationships/fontTable" Target="fontTable.xml"/><Relationship Id="rId57" Type="http://schemas.openxmlformats.org/officeDocument/2006/relationships/settings" Target="settings.xml"/><Relationship Id="rId58" Type="http://schemas.openxmlformats.org/officeDocument/2006/relationships/theme" Target="theme/theme1.xml"/><Relationship Id="rId59" Type="http://schemas.openxmlformats.org/officeDocument/2006/relationships/customXml" Target="../customXml/item1.xml"/>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AFFEC-D5EB-4B72-B6B7-539603797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Application>LibreOffice/6.1.5.2$Linux_X86_64 LibreOffice_project/10$Build-2</Application>
  <Pages>27</Pages>
  <Words>9229</Words>
  <Characters>53300</Characters>
  <CharactersWithSpaces>62219</CharactersWithSpaces>
  <Paragraphs>343</Paragraphs>
  <Company>Ministerie van OCW</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2018-10-19T10:05:00Z</dcterms:created>
  <dc:creator>Slomp, Ronald</dc:creator>
  <dc:description/>
  <dc:language>nl-NL</dc:language>
  <cp:lastModifiedBy>Bart Ratgers</cp:lastModifiedBy>
  <cp:lastPrinted>2018-08-30T07:45:00Z</cp:lastPrinted>
  <dcterms:modified xsi:type="dcterms:W3CDTF">2019-03-24T17:23:26Z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Ministerie van OCW</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