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leftFromText="142" w:rightFromText="142" w:vertAnchor="page" w:horzAnchor="page" w:tblpX="9357" w:tblpY="3068"/>
        <w:tblW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</w:tblGrid>
      <w:tr w:rsidR="003C4424" w:rsidTr="00032FBA">
        <w:tc>
          <w:tcPr>
            <w:tcW w:w="2160" w:type="dxa"/>
          </w:tcPr>
          <w:p w:rsidR="007E4BC1" w:rsidRPr="00A273D8" w:rsidRDefault="00032FBA" w:rsidP="00AA18CF">
            <w:pPr>
              <w:spacing w:after="92" w:line="180" w:lineRule="exact"/>
              <w:jc w:val="both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Primair Onderwijs</w:t>
            </w:r>
          </w:p>
          <w:p w:rsidR="007E4BC1" w:rsidRPr="00A273D8" w:rsidRDefault="00032FBA" w:rsidP="00AA18CF">
            <w:pPr>
              <w:spacing w:line="180" w:lineRule="exact"/>
              <w:jc w:val="both"/>
              <w:rPr>
                <w:b/>
                <w:sz w:val="13"/>
                <w:szCs w:val="13"/>
              </w:rPr>
            </w:pPr>
            <w:r w:rsidRPr="00A273D8">
              <w:rPr>
                <w:b/>
                <w:sz w:val="13"/>
                <w:szCs w:val="13"/>
              </w:rPr>
              <w:t>Van</w:t>
            </w:r>
          </w:p>
          <w:p w:rsidR="007E4BC1" w:rsidRPr="00F06766" w:rsidRDefault="007E4BC1" w:rsidP="00AA18CF">
            <w:pPr>
              <w:spacing w:after="92" w:line="180" w:lineRule="exact"/>
              <w:jc w:val="both"/>
              <w:rPr>
                <w:sz w:val="13"/>
                <w:szCs w:val="13"/>
              </w:rPr>
            </w:pPr>
          </w:p>
          <w:p w:rsidR="007E4BC1" w:rsidRPr="00A273D8" w:rsidRDefault="00032FBA" w:rsidP="00AA18CF">
            <w:pPr>
              <w:spacing w:after="92" w:line="180" w:lineRule="exact"/>
              <w:jc w:val="both"/>
              <w:rPr>
                <w:sz w:val="13"/>
                <w:szCs w:val="13"/>
              </w:rPr>
            </w:pPr>
            <w:r w:rsidRPr="00A273D8">
              <w:rPr>
                <w:sz w:val="13"/>
                <w:szCs w:val="13"/>
              </w:rPr>
              <w:t xml:space="preserve">T </w:t>
            </w:r>
          </w:p>
        </w:tc>
      </w:tr>
      <w:tr w:rsidR="003C4424" w:rsidTr="00032FBA">
        <w:trPr>
          <w:trHeight w:val="225"/>
        </w:trPr>
        <w:tc>
          <w:tcPr>
            <w:tcW w:w="2160" w:type="dxa"/>
          </w:tcPr>
          <w:p w:rsidR="007E4BC1" w:rsidRDefault="00032FBA" w:rsidP="00AA18CF">
            <w:pPr>
              <w:spacing w:line="180" w:lineRule="exact"/>
              <w:jc w:val="both"/>
              <w:rPr>
                <w:b/>
                <w:sz w:val="13"/>
                <w:szCs w:val="13"/>
              </w:rPr>
            </w:pPr>
            <w:r w:rsidRPr="00F06766">
              <w:rPr>
                <w:b/>
                <w:sz w:val="13"/>
                <w:szCs w:val="13"/>
              </w:rPr>
              <w:t>Bijlagen</w:t>
            </w:r>
          </w:p>
          <w:p w:rsidR="007E4BC1" w:rsidRDefault="00032FBA" w:rsidP="00AA18CF">
            <w:pPr>
              <w:spacing w:line="180" w:lineRule="exact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  <w:p w:rsidR="007E4BC1" w:rsidRPr="008B6F54" w:rsidRDefault="007E4BC1" w:rsidP="00AA18CF">
            <w:pPr>
              <w:spacing w:line="92" w:lineRule="exact"/>
              <w:jc w:val="both"/>
              <w:rPr>
                <w:sz w:val="2"/>
                <w:szCs w:val="2"/>
              </w:rPr>
            </w:pPr>
          </w:p>
        </w:tc>
      </w:tr>
      <w:tr w:rsidR="003C4424" w:rsidTr="00032FBA">
        <w:trPr>
          <w:trHeight w:val="225"/>
        </w:trPr>
        <w:tc>
          <w:tcPr>
            <w:tcW w:w="2160" w:type="dxa"/>
          </w:tcPr>
          <w:p w:rsidR="007E4BC1" w:rsidRDefault="00032FBA" w:rsidP="00AA18CF">
            <w:pPr>
              <w:spacing w:line="180" w:lineRule="exact"/>
              <w:jc w:val="both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Aantal pagina’s</w:t>
            </w:r>
          </w:p>
          <w:p w:rsidR="007E4BC1" w:rsidRPr="00564783" w:rsidRDefault="00032FBA" w:rsidP="00AA18CF">
            <w:pPr>
              <w:spacing w:after="92" w:line="180" w:lineRule="exact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NUMPAGES  \* Arabic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:rsidR="00834D38" w:rsidRDefault="00834D38" w:rsidP="00AA18CF">
      <w:pPr>
        <w:jc w:val="both"/>
      </w:pPr>
    </w:p>
    <w:p w:rsidR="00294743" w:rsidRDefault="00294743" w:rsidP="00AA18CF">
      <w:pPr>
        <w:jc w:val="both"/>
      </w:pPr>
      <w:r>
        <w:t>Het KRO PO/VO wordt gevraagd akkoord te gaan met:</w:t>
      </w:r>
    </w:p>
    <w:p w:rsidR="00294743" w:rsidRDefault="00294743" w:rsidP="00AA18CF">
      <w:pPr>
        <w:pStyle w:val="Lijstalinea"/>
        <w:numPr>
          <w:ilvl w:val="0"/>
          <w:numId w:val="6"/>
        </w:numPr>
        <w:jc w:val="both"/>
      </w:pPr>
      <w:r>
        <w:t xml:space="preserve">Een </w:t>
      </w:r>
      <w:r w:rsidRPr="00E66362">
        <w:rPr>
          <w:b/>
        </w:rPr>
        <w:t>opdracht</w:t>
      </w:r>
      <w:r>
        <w:t xml:space="preserve"> aan </w:t>
      </w:r>
      <w:proofErr w:type="spellStart"/>
      <w:r w:rsidR="004023CC">
        <w:t>Edustandaard</w:t>
      </w:r>
      <w:proofErr w:type="spellEnd"/>
      <w:r w:rsidR="004023CC">
        <w:t xml:space="preserve"> </w:t>
      </w:r>
      <w:r>
        <w:t>om de nieuwe WDO</w:t>
      </w:r>
      <w:r w:rsidR="000154E7">
        <w:t>-</w:t>
      </w:r>
      <w:r>
        <w:t xml:space="preserve">beveiligingsstandaarden en bestaande toegangstandaarden op te nemen in de ROSA. Dit </w:t>
      </w:r>
      <w:r w:rsidR="000154E7">
        <w:t xml:space="preserve">is </w:t>
      </w:r>
      <w:r>
        <w:t xml:space="preserve">in lijn met de Europese Toegankelijkheidsrichtlijnen die inmiddels zijn opgenomen in de ROSA.  </w:t>
      </w:r>
    </w:p>
    <w:p w:rsidR="006E16CF" w:rsidRDefault="00294743" w:rsidP="00AA18CF">
      <w:pPr>
        <w:pStyle w:val="Lijstalinea"/>
        <w:numPr>
          <w:ilvl w:val="0"/>
          <w:numId w:val="6"/>
        </w:numPr>
        <w:jc w:val="both"/>
      </w:pPr>
      <w:r>
        <w:t xml:space="preserve">Een </w:t>
      </w:r>
      <w:r w:rsidRPr="00E66362">
        <w:rPr>
          <w:b/>
        </w:rPr>
        <w:t>adviesverzoek</w:t>
      </w:r>
      <w:r>
        <w:t xml:space="preserve"> aan </w:t>
      </w:r>
      <w:r w:rsidR="004023CC">
        <w:t>Edustandaard</w:t>
      </w:r>
      <w:r>
        <w:t xml:space="preserve"> over hoe nu en in de toekomst de implementatie </w:t>
      </w:r>
      <w:r w:rsidR="00AA18CF">
        <w:t xml:space="preserve">van </w:t>
      </w:r>
      <w:r w:rsidR="000154E7">
        <w:t>en toezicht op WDO-</w:t>
      </w:r>
      <w:r>
        <w:t xml:space="preserve">standaarden en </w:t>
      </w:r>
      <w:r w:rsidR="00A553AA">
        <w:t>onderwijs</w:t>
      </w:r>
      <w:r>
        <w:t>sta</w:t>
      </w:r>
      <w:r>
        <w:t>n</w:t>
      </w:r>
      <w:r>
        <w:t>daarden</w:t>
      </w:r>
      <w:r w:rsidR="00A553AA">
        <w:t xml:space="preserve"> in het algemeen</w:t>
      </w:r>
      <w:r>
        <w:t xml:space="preserve"> kan worden georganiseerd.</w:t>
      </w:r>
    </w:p>
    <w:p w:rsidR="00AA18CF" w:rsidRDefault="00AA18CF" w:rsidP="00AA18CF">
      <w:pPr>
        <w:pStyle w:val="Lijstalinea"/>
        <w:numPr>
          <w:ilvl w:val="0"/>
          <w:numId w:val="6"/>
        </w:numPr>
        <w:jc w:val="both"/>
      </w:pPr>
      <w:r>
        <w:rPr>
          <w:b/>
        </w:rPr>
        <w:t>Besluitvorming</w:t>
      </w:r>
      <w:r>
        <w:t xml:space="preserve"> in het KRO PO/VO over de implementatie van en het toezicht op de standaarden, waarbij rekening wordt gehouden met de rol van SIVON en financiële randvoorwaarden</w:t>
      </w:r>
    </w:p>
    <w:p w:rsidR="00294743" w:rsidRDefault="00294743" w:rsidP="00AA18CF">
      <w:pPr>
        <w:jc w:val="both"/>
        <w:rPr>
          <w:b/>
        </w:rPr>
      </w:pPr>
    </w:p>
    <w:p w:rsidR="007E4BC1" w:rsidRDefault="00032FBA" w:rsidP="00AA18CF">
      <w:pPr>
        <w:jc w:val="both"/>
        <w:rPr>
          <w:b/>
        </w:rPr>
      </w:pPr>
      <w:r>
        <w:rPr>
          <w:b/>
        </w:rPr>
        <w:t>Aanleiding</w:t>
      </w:r>
    </w:p>
    <w:p w:rsidR="00294743" w:rsidRDefault="00032FBA" w:rsidP="00AA18CF">
      <w:pPr>
        <w:jc w:val="both"/>
      </w:pPr>
      <w:r>
        <w:t xml:space="preserve">In de Wet Digitale Overheid (WDO) worden beveiligingsstandaarden </w:t>
      </w:r>
      <w:r w:rsidR="00C460F8">
        <w:t xml:space="preserve">verplicht gesteld </w:t>
      </w:r>
      <w:r>
        <w:t>door de minister van BZK voor de overheid en organisaties met een p</w:t>
      </w:r>
      <w:r>
        <w:t>u</w:t>
      </w:r>
      <w:r>
        <w:t>blieke taak. Doel is op stelselniveau eenduidige normen te geven voor een min</w:t>
      </w:r>
      <w:r>
        <w:t>i</w:t>
      </w:r>
      <w:r>
        <w:t xml:space="preserve">maal beveiligingsniveau. Individuele organisaties </w:t>
      </w:r>
      <w:r w:rsidR="004E2CD9">
        <w:t xml:space="preserve">(ook schoolbesturen) </w:t>
      </w:r>
      <w:r>
        <w:t xml:space="preserve">zijn al verantwoordelijk om passende beveiligingsmaatregelen te nemen. Dit laat nu nog </w:t>
      </w:r>
      <w:r w:rsidR="00C460F8">
        <w:t xml:space="preserve">(te veel) </w:t>
      </w:r>
      <w:r>
        <w:t xml:space="preserve">ruimte om te bepalen wat passend is. </w:t>
      </w:r>
      <w:r w:rsidR="00C460F8">
        <w:t xml:space="preserve">Ook is </w:t>
      </w:r>
      <w:r>
        <w:t xml:space="preserve">bij samenwerking in ketens een organisatie afhankelijk van de maatregelen van een ketenpartner. </w:t>
      </w:r>
      <w:r w:rsidR="004E2CD9">
        <w:t>De zwa</w:t>
      </w:r>
      <w:r w:rsidR="004E2CD9">
        <w:t>k</w:t>
      </w:r>
      <w:r w:rsidR="004E2CD9">
        <w:t>ste schakel bepaalt daarmee de kwaliteit van de totale informatiebeveiliging. DUO dwingt daarom in de relatie met leveranciers het gebruik van beveiligingssta</w:t>
      </w:r>
      <w:r w:rsidR="004E2CD9">
        <w:t>n</w:t>
      </w:r>
      <w:r w:rsidR="004E2CD9">
        <w:t xml:space="preserve">daarden af. Schoolbesturen zouden dat </w:t>
      </w:r>
      <w:r w:rsidR="00C460F8">
        <w:t xml:space="preserve">in hun contracten met </w:t>
      </w:r>
      <w:r w:rsidR="000154E7">
        <w:t>ICT</w:t>
      </w:r>
      <w:r w:rsidR="00C460F8">
        <w:t>-leveranciers ook moeten doen.</w:t>
      </w:r>
    </w:p>
    <w:p w:rsidR="00032FBA" w:rsidRDefault="00AA215E" w:rsidP="00AA18CF">
      <w:pPr>
        <w:jc w:val="both"/>
      </w:pPr>
      <w:r>
        <w:t xml:space="preserve"> </w:t>
      </w:r>
    </w:p>
    <w:p w:rsidR="00032FBA" w:rsidRDefault="00032FBA" w:rsidP="00AA18CF">
      <w:pPr>
        <w:jc w:val="both"/>
        <w:rPr>
          <w:b/>
        </w:rPr>
      </w:pPr>
      <w:r>
        <w:rPr>
          <w:b/>
        </w:rPr>
        <w:t>Doel bespreekpunt</w:t>
      </w:r>
    </w:p>
    <w:p w:rsidR="00A553AA" w:rsidRDefault="006E16CF" w:rsidP="00AA18CF">
      <w:pPr>
        <w:jc w:val="both"/>
      </w:pPr>
      <w:r>
        <w:t xml:space="preserve">De standaardisatieraad is de plek waar de standaarden worden vastgesteld. Dat gebeurt in een publiek-private setting. De standaardisatieraad is tegelijkertijd </w:t>
      </w:r>
      <w:r w:rsidR="00A553AA">
        <w:t xml:space="preserve">(te) </w:t>
      </w:r>
      <w:r>
        <w:t>vrijblijvend. Op dit moment worden daar geen (bestuurlijke) afspraken gemaakt over daadwerkelijke invoering van standaarden. Voor de invoering wordt bijvoo</w:t>
      </w:r>
      <w:r>
        <w:t>r</w:t>
      </w:r>
      <w:r>
        <w:t xml:space="preserve">beeld gekeken naar </w:t>
      </w:r>
      <w:proofErr w:type="spellStart"/>
      <w:r>
        <w:t>Edu-k</w:t>
      </w:r>
      <w:proofErr w:type="spellEnd"/>
      <w:r>
        <w:t xml:space="preserve">. </w:t>
      </w:r>
      <w:r w:rsidR="00A553AA">
        <w:t xml:space="preserve">Maar ook in </w:t>
      </w:r>
      <w:proofErr w:type="spellStart"/>
      <w:r w:rsidR="00A553AA">
        <w:t>Edu-k</w:t>
      </w:r>
      <w:proofErr w:type="spellEnd"/>
      <w:r w:rsidR="00A553AA">
        <w:t xml:space="preserve"> leidt dit tot een gesprek over ve</w:t>
      </w:r>
      <w:r w:rsidR="00A553AA">
        <w:t>r</w:t>
      </w:r>
      <w:r w:rsidR="00A553AA">
        <w:t xml:space="preserve">antwoordelijkheden en geld (subsidie). En </w:t>
      </w:r>
      <w:proofErr w:type="spellStart"/>
      <w:r w:rsidR="00A553AA">
        <w:t>Edu-k</w:t>
      </w:r>
      <w:proofErr w:type="spellEnd"/>
      <w:r w:rsidR="00A553AA">
        <w:t xml:space="preserve"> dekt maar een deel van het speelveld af. Kortom: een advies vanuit </w:t>
      </w:r>
      <w:proofErr w:type="spellStart"/>
      <w:r w:rsidR="00A553AA">
        <w:t>Edustandaard</w:t>
      </w:r>
      <w:proofErr w:type="spellEnd"/>
      <w:r w:rsidR="00A553AA">
        <w:t xml:space="preserve"> om de implementatiekracht van standaarden te vergroten is nuttig nu en in de toekomst. </w:t>
      </w:r>
    </w:p>
    <w:p w:rsidR="00A553AA" w:rsidRDefault="00A553AA" w:rsidP="00AA18CF">
      <w:pPr>
        <w:jc w:val="both"/>
      </w:pPr>
    </w:p>
    <w:p w:rsidR="00032FBA" w:rsidRDefault="00A553AA" w:rsidP="00AA18CF">
      <w:pPr>
        <w:jc w:val="both"/>
      </w:pPr>
      <w:r>
        <w:t xml:space="preserve">Op basis van een advies van </w:t>
      </w:r>
      <w:proofErr w:type="spellStart"/>
      <w:r>
        <w:t>Edustandaard</w:t>
      </w:r>
      <w:proofErr w:type="spellEnd"/>
      <w:r>
        <w:t xml:space="preserve"> kan besloten worden over het ve</w:t>
      </w:r>
      <w:r>
        <w:t>r</w:t>
      </w:r>
      <w:r>
        <w:t>volg. Op dit moment is bijvoorbeeld niet duidelijk in hoeverre leveranciers al vo</w:t>
      </w:r>
      <w:r>
        <w:t>l</w:t>
      </w:r>
      <w:r>
        <w:t>doen de aan de betreffende beveiligingsstandaarden (bijlage 1). Een dergelijke invent</w:t>
      </w:r>
      <w:r>
        <w:t>a</w:t>
      </w:r>
      <w:r>
        <w:t>risatie lijkt nodig om scope, impact en kosten in beeld te brengen.</w:t>
      </w:r>
    </w:p>
    <w:p w:rsidR="000154E7" w:rsidRDefault="000154E7" w:rsidP="00AA18CF">
      <w:pPr>
        <w:jc w:val="both"/>
      </w:pPr>
    </w:p>
    <w:p w:rsidR="00294743" w:rsidRPr="00256793" w:rsidRDefault="00294743" w:rsidP="00AA18CF">
      <w:pPr>
        <w:jc w:val="both"/>
        <w:rPr>
          <w:b/>
        </w:rPr>
      </w:pPr>
      <w:r w:rsidRPr="00256793">
        <w:rPr>
          <w:b/>
        </w:rPr>
        <w:t xml:space="preserve">Bijlage </w:t>
      </w:r>
      <w:r>
        <w:rPr>
          <w:b/>
        </w:rPr>
        <w:t>1: beveiligingsstandaarden die verplicht worden</w:t>
      </w:r>
    </w:p>
    <w:p w:rsidR="00294743" w:rsidRDefault="00294743" w:rsidP="00AA18CF">
      <w:pPr>
        <w:jc w:val="both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976"/>
        <w:gridCol w:w="3261"/>
      </w:tblGrid>
      <w:tr w:rsidR="00294743" w:rsidTr="00CB5F10">
        <w:tc>
          <w:tcPr>
            <w:tcW w:w="2976" w:type="dxa"/>
            <w:tcBorders>
              <w:left w:val="double" w:sz="4" w:space="0" w:color="auto"/>
              <w:bottom w:val="double" w:sz="4" w:space="0" w:color="auto"/>
            </w:tcBorders>
          </w:tcPr>
          <w:p w:rsidR="00294743" w:rsidRDefault="00294743" w:rsidP="00AA18CF">
            <w:pPr>
              <w:jc w:val="both"/>
            </w:pPr>
            <w:r>
              <w:t>Standaard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294743" w:rsidRDefault="00294743" w:rsidP="00AA18CF">
            <w:pPr>
              <w:jc w:val="both"/>
            </w:pPr>
            <w:r>
              <w:t>Doel standaard</w:t>
            </w:r>
          </w:p>
        </w:tc>
      </w:tr>
      <w:tr w:rsidR="00294743" w:rsidTr="00CB5F10">
        <w:tc>
          <w:tcPr>
            <w:tcW w:w="2976" w:type="dxa"/>
            <w:tcBorders>
              <w:top w:val="double" w:sz="4" w:space="0" w:color="auto"/>
              <w:left w:val="double" w:sz="4" w:space="0" w:color="auto"/>
            </w:tcBorders>
          </w:tcPr>
          <w:p w:rsidR="00294743" w:rsidRDefault="00294743" w:rsidP="00AA18CF">
            <w:pPr>
              <w:jc w:val="both"/>
            </w:pPr>
            <w:r>
              <w:t>TLS/HTTPS</w:t>
            </w:r>
            <w:r>
              <w:br/>
              <w:t>Het NCCS heeft aanvullende eisen t.a.v. cijfersuites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294743" w:rsidRDefault="00294743" w:rsidP="00AA18CF">
            <w:pPr>
              <w:jc w:val="both"/>
            </w:pPr>
            <w:r>
              <w:t>Beveiligde verbinding</w:t>
            </w:r>
          </w:p>
        </w:tc>
      </w:tr>
      <w:tr w:rsidR="00294743" w:rsidTr="00CB5F10">
        <w:tc>
          <w:tcPr>
            <w:tcW w:w="2976" w:type="dxa"/>
            <w:tcBorders>
              <w:left w:val="double" w:sz="4" w:space="0" w:color="auto"/>
            </w:tcBorders>
          </w:tcPr>
          <w:p w:rsidR="00294743" w:rsidRDefault="00294743" w:rsidP="00AA18CF">
            <w:pPr>
              <w:jc w:val="both"/>
            </w:pPr>
            <w:r>
              <w:t>DNSSEC</w:t>
            </w:r>
          </w:p>
        </w:tc>
        <w:tc>
          <w:tcPr>
            <w:tcW w:w="3261" w:type="dxa"/>
          </w:tcPr>
          <w:p w:rsidR="00294743" w:rsidRDefault="00294743" w:rsidP="00AA18CF">
            <w:pPr>
              <w:jc w:val="both"/>
            </w:pPr>
            <w:r>
              <w:t>Domeinnaambeveiliging</w:t>
            </w:r>
          </w:p>
        </w:tc>
      </w:tr>
      <w:tr w:rsidR="00294743" w:rsidTr="00CB5F10">
        <w:tc>
          <w:tcPr>
            <w:tcW w:w="2976" w:type="dxa"/>
            <w:tcBorders>
              <w:left w:val="double" w:sz="4" w:space="0" w:color="auto"/>
            </w:tcBorders>
          </w:tcPr>
          <w:p w:rsidR="00294743" w:rsidRDefault="00294743" w:rsidP="00AA18CF">
            <w:pPr>
              <w:jc w:val="both"/>
            </w:pPr>
            <w:r>
              <w:t>SPF</w:t>
            </w:r>
          </w:p>
        </w:tc>
        <w:tc>
          <w:tcPr>
            <w:tcW w:w="3261" w:type="dxa"/>
          </w:tcPr>
          <w:p w:rsidR="00294743" w:rsidRDefault="00294743" w:rsidP="00AA18CF">
            <w:pPr>
              <w:jc w:val="both"/>
            </w:pPr>
            <w:r>
              <w:t>Anti-</w:t>
            </w:r>
            <w:proofErr w:type="spellStart"/>
            <w:r>
              <w:t>phishing</w:t>
            </w:r>
            <w:proofErr w:type="spellEnd"/>
            <w:r>
              <w:t xml:space="preserve"> email</w:t>
            </w:r>
          </w:p>
        </w:tc>
      </w:tr>
      <w:tr w:rsidR="00294743" w:rsidTr="00CB5F10">
        <w:tc>
          <w:tcPr>
            <w:tcW w:w="2976" w:type="dxa"/>
            <w:tcBorders>
              <w:left w:val="double" w:sz="4" w:space="0" w:color="auto"/>
            </w:tcBorders>
          </w:tcPr>
          <w:p w:rsidR="00294743" w:rsidRDefault="00294743" w:rsidP="00AA18CF">
            <w:pPr>
              <w:jc w:val="both"/>
            </w:pPr>
            <w:r>
              <w:t>DKIM</w:t>
            </w:r>
          </w:p>
        </w:tc>
        <w:tc>
          <w:tcPr>
            <w:tcW w:w="3261" w:type="dxa"/>
          </w:tcPr>
          <w:p w:rsidR="00294743" w:rsidRDefault="00294743" w:rsidP="00AA18CF">
            <w:pPr>
              <w:jc w:val="both"/>
            </w:pPr>
            <w:r>
              <w:t>Anti-</w:t>
            </w:r>
            <w:proofErr w:type="spellStart"/>
            <w:r>
              <w:t>phishing</w:t>
            </w:r>
            <w:proofErr w:type="spellEnd"/>
            <w:r>
              <w:t xml:space="preserve"> email</w:t>
            </w:r>
          </w:p>
        </w:tc>
      </w:tr>
      <w:tr w:rsidR="00294743" w:rsidTr="00CB5F10">
        <w:tc>
          <w:tcPr>
            <w:tcW w:w="2976" w:type="dxa"/>
            <w:tcBorders>
              <w:left w:val="double" w:sz="4" w:space="0" w:color="auto"/>
              <w:bottom w:val="double" w:sz="4" w:space="0" w:color="auto"/>
            </w:tcBorders>
          </w:tcPr>
          <w:p w:rsidR="00294743" w:rsidRDefault="00294743" w:rsidP="00AA18CF">
            <w:pPr>
              <w:jc w:val="both"/>
            </w:pPr>
            <w:r>
              <w:t>DMARC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294743" w:rsidRDefault="00294743" w:rsidP="00AA18CF">
            <w:pPr>
              <w:jc w:val="both"/>
            </w:pPr>
            <w:r>
              <w:t>Anti-</w:t>
            </w:r>
            <w:proofErr w:type="spellStart"/>
            <w:r>
              <w:t>phishing</w:t>
            </w:r>
            <w:proofErr w:type="spellEnd"/>
            <w:r>
              <w:t xml:space="preserve"> email</w:t>
            </w:r>
          </w:p>
        </w:tc>
      </w:tr>
      <w:tr w:rsidR="00294743" w:rsidTr="00CB5F10"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94743" w:rsidRDefault="00294743" w:rsidP="00AA18CF">
            <w:pPr>
              <w:jc w:val="both"/>
            </w:pPr>
            <w:r>
              <w:t>HTTPS, HSTS en TLS conform NCSC richtlijn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294743" w:rsidRDefault="00294743" w:rsidP="00AA18CF">
            <w:pPr>
              <w:jc w:val="both"/>
            </w:pPr>
            <w:r>
              <w:t>Beveiligde verbinding</w:t>
            </w:r>
          </w:p>
        </w:tc>
      </w:tr>
      <w:tr w:rsidR="00294743" w:rsidTr="00CB5F10">
        <w:tc>
          <w:tcPr>
            <w:tcW w:w="2976" w:type="dxa"/>
            <w:tcBorders>
              <w:top w:val="double" w:sz="4" w:space="0" w:color="auto"/>
              <w:left w:val="double" w:sz="4" w:space="0" w:color="auto"/>
            </w:tcBorders>
          </w:tcPr>
          <w:p w:rsidR="00294743" w:rsidRDefault="00294743" w:rsidP="00AA18CF">
            <w:pPr>
              <w:jc w:val="both"/>
            </w:pPr>
            <w:r>
              <w:t xml:space="preserve">STARTTLS en DANE. Voor gebruik van DANE gelden strikte </w:t>
            </w:r>
            <w:proofErr w:type="spellStart"/>
            <w:r>
              <w:t>policies</w:t>
            </w:r>
            <w:proofErr w:type="spellEnd"/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294743" w:rsidRDefault="00294743" w:rsidP="00AA18CF">
            <w:pPr>
              <w:jc w:val="both"/>
            </w:pPr>
            <w:r>
              <w:t>Encryptie van mailverkeer</w:t>
            </w:r>
          </w:p>
        </w:tc>
      </w:tr>
      <w:tr w:rsidR="00294743" w:rsidTr="00CB5F10">
        <w:tc>
          <w:tcPr>
            <w:tcW w:w="2976" w:type="dxa"/>
            <w:tcBorders>
              <w:left w:val="double" w:sz="4" w:space="0" w:color="auto"/>
            </w:tcBorders>
          </w:tcPr>
          <w:p w:rsidR="00294743" w:rsidRDefault="00294743" w:rsidP="00AA18CF">
            <w:pPr>
              <w:jc w:val="both"/>
            </w:pPr>
            <w:r>
              <w:t>SPF en DMARC</w:t>
            </w:r>
          </w:p>
        </w:tc>
        <w:tc>
          <w:tcPr>
            <w:tcW w:w="3261" w:type="dxa"/>
          </w:tcPr>
          <w:p w:rsidR="00294743" w:rsidRDefault="00294743" w:rsidP="00AA18CF">
            <w:pPr>
              <w:jc w:val="both"/>
            </w:pPr>
            <w:r>
              <w:t xml:space="preserve">Strikte </w:t>
            </w:r>
            <w:proofErr w:type="spellStart"/>
            <w:r>
              <w:t>policies</w:t>
            </w:r>
            <w:proofErr w:type="spellEnd"/>
            <w:r>
              <w:t xml:space="preserve"> voor emailsta</w:t>
            </w:r>
            <w:r>
              <w:t>n</w:t>
            </w:r>
            <w:r>
              <w:t>daarden</w:t>
            </w:r>
          </w:p>
        </w:tc>
      </w:tr>
    </w:tbl>
    <w:p w:rsidR="00294743" w:rsidRPr="00D718DC" w:rsidRDefault="00294743" w:rsidP="00AA18CF">
      <w:pPr>
        <w:jc w:val="both"/>
      </w:pPr>
    </w:p>
    <w:p w:rsidR="00294743" w:rsidRPr="00D718DC" w:rsidRDefault="00294743" w:rsidP="00AA18CF">
      <w:pPr>
        <w:jc w:val="both"/>
      </w:pPr>
    </w:p>
    <w:p w:rsidR="00294743" w:rsidRPr="00032FBA" w:rsidRDefault="00294743" w:rsidP="00AA18CF">
      <w:pPr>
        <w:jc w:val="both"/>
      </w:pPr>
    </w:p>
    <w:sectPr w:rsidR="00294743" w:rsidRPr="00032FBA" w:rsidSect="00F72B0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180" w:right="2818" w:bottom="1077" w:left="1588" w:header="2398" w:footer="624" w:gutter="0"/>
      <w:paperSrc w:first="7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34" w:rsidRDefault="00D27A34">
      <w:pPr>
        <w:spacing w:line="240" w:lineRule="auto"/>
      </w:pPr>
      <w:r>
        <w:separator/>
      </w:r>
    </w:p>
  </w:endnote>
  <w:endnote w:type="continuationSeparator" w:id="0">
    <w:p w:rsidR="00D27A34" w:rsidRDefault="00D27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C0" w:rsidRPr="00BC3B53" w:rsidRDefault="00137AC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3C4424" w:rsidTr="001E4C6B">
      <w:trPr>
        <w:trHeight w:hRule="exact" w:val="240"/>
      </w:trPr>
      <w:tc>
        <w:tcPr>
          <w:tcW w:w="7601" w:type="dxa"/>
          <w:shd w:val="clear" w:color="auto" w:fill="auto"/>
        </w:tcPr>
        <w:p w:rsidR="00137AC0" w:rsidRDefault="00137AC0" w:rsidP="003F1F6B">
          <w:pPr>
            <w:pStyle w:val="Huisstijl-Rubricering"/>
          </w:pPr>
        </w:p>
      </w:tc>
      <w:tc>
        <w:tcPr>
          <w:tcW w:w="2156" w:type="dxa"/>
        </w:tcPr>
        <w:p w:rsidR="00137AC0" w:rsidRPr="00236CFE" w:rsidRDefault="00032FBA" w:rsidP="003F1F6B">
          <w:pPr>
            <w:pStyle w:val="Huisstijl-Paginanummering"/>
          </w:pPr>
          <w:r w:rsidRPr="00CB7ABA">
            <w:t xml:space="preserve">Pagina </w:t>
          </w:r>
          <w:r w:rsidRPr="00CB7ABA">
            <w:fldChar w:fldCharType="begin"/>
          </w:r>
          <w:r w:rsidRPr="00CB7ABA">
            <w:instrText xml:space="preserve"> PAGE   \* MERGEFORMAT </w:instrText>
          </w:r>
          <w:r w:rsidRPr="00CB7ABA">
            <w:fldChar w:fldCharType="separate"/>
          </w:r>
          <w:r w:rsidR="00F63D00">
            <w:t>2</w:t>
          </w:r>
          <w:r w:rsidRPr="00CB7ABA">
            <w:fldChar w:fldCharType="end"/>
          </w:r>
          <w:r w:rsidRPr="00CB7ABA">
            <w:t xml:space="preserve"> van </w:t>
          </w:r>
          <w:r w:rsidR="002B29B6">
            <w:fldChar w:fldCharType="begin"/>
          </w:r>
          <w:r>
            <w:instrText xml:space="preserve"> SECTIONPAGES   \* MERGEFORMAT </w:instrText>
          </w:r>
          <w:r w:rsidR="002B29B6">
            <w:fldChar w:fldCharType="separate"/>
          </w:r>
          <w:r w:rsidR="00F63D00">
            <w:t>2</w:t>
          </w:r>
          <w:r w:rsidR="002B29B6">
            <w:fldChar w:fldCharType="end"/>
          </w:r>
        </w:p>
      </w:tc>
    </w:tr>
  </w:tbl>
  <w:p w:rsidR="00137AC0" w:rsidRPr="00BC3B53" w:rsidRDefault="00137AC0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13"/>
      <w:gridCol w:w="2058"/>
    </w:tblGrid>
    <w:tr w:rsidR="003C4424" w:rsidTr="00301C26">
      <w:trPr>
        <w:trHeight w:hRule="exact" w:val="240"/>
      </w:trPr>
      <w:tc>
        <w:tcPr>
          <w:tcW w:w="7713" w:type="dxa"/>
          <w:shd w:val="clear" w:color="auto" w:fill="auto"/>
        </w:tcPr>
        <w:p w:rsidR="00137AC0" w:rsidRDefault="00137AC0" w:rsidP="008C356D">
          <w:pPr>
            <w:pStyle w:val="Huisstijl-Rubricering"/>
          </w:pPr>
        </w:p>
      </w:tc>
      <w:tc>
        <w:tcPr>
          <w:tcW w:w="2058" w:type="dxa"/>
        </w:tcPr>
        <w:p w:rsidR="00137AC0" w:rsidRPr="00CB7ABA" w:rsidRDefault="00032FBA" w:rsidP="00CB7ABA">
          <w:pPr>
            <w:pStyle w:val="Huisstijl-Paginanummering"/>
          </w:pPr>
          <w:r w:rsidRPr="00CB7ABA">
            <w:t xml:space="preserve">Pagina </w:t>
          </w:r>
          <w:r w:rsidRPr="00CB7ABA">
            <w:fldChar w:fldCharType="begin"/>
          </w:r>
          <w:r w:rsidRPr="00CB7ABA">
            <w:instrText xml:space="preserve"> PAGE   \* MERGEFORMAT </w:instrText>
          </w:r>
          <w:r w:rsidRPr="00CB7ABA">
            <w:fldChar w:fldCharType="separate"/>
          </w:r>
          <w:r w:rsidR="00F63D00">
            <w:t>1</w:t>
          </w:r>
          <w:r w:rsidRPr="00CB7ABA">
            <w:fldChar w:fldCharType="end"/>
          </w:r>
          <w:r w:rsidRPr="00CB7ABA">
            <w:t xml:space="preserve"> van</w:t>
          </w:r>
          <w:r w:rsidRPr="00CB7ABA">
            <w:rPr>
              <w:rStyle w:val="Huisstijl-GegevenCharChar"/>
            </w:rPr>
            <w:t xml:space="preserve"> </w:t>
          </w:r>
          <w:r w:rsidR="00D36653">
            <w:fldChar w:fldCharType="begin"/>
          </w:r>
          <w:r>
            <w:instrText xml:space="preserve"> SECTIONPAGES   \* MERGEFORMAT </w:instrText>
          </w:r>
          <w:r w:rsidR="00D36653">
            <w:fldChar w:fldCharType="separate"/>
          </w:r>
          <w:r w:rsidR="00F63D00">
            <w:t>2</w:t>
          </w:r>
          <w:r w:rsidR="00D36653">
            <w:fldChar w:fldCharType="end"/>
          </w:r>
        </w:p>
      </w:tc>
    </w:tr>
  </w:tbl>
  <w:p w:rsidR="00137AC0" w:rsidRPr="00BC3B53" w:rsidRDefault="00137AC0" w:rsidP="008C356D">
    <w:pPr>
      <w:pStyle w:val="Voettekst"/>
      <w:spacing w:line="240" w:lineRule="auto"/>
      <w:rPr>
        <w:sz w:val="2"/>
        <w:szCs w:val="2"/>
      </w:rPr>
    </w:pPr>
  </w:p>
  <w:p w:rsidR="00137AC0" w:rsidRPr="00BC3B53" w:rsidRDefault="00137AC0" w:rsidP="00301C26">
    <w:pPr>
      <w:pStyle w:val="Voettekst"/>
      <w:spacing w:line="18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34" w:rsidRDefault="00D27A34">
      <w:pPr>
        <w:spacing w:line="240" w:lineRule="auto"/>
      </w:pPr>
      <w:r>
        <w:separator/>
      </w:r>
    </w:p>
  </w:footnote>
  <w:footnote w:type="continuationSeparator" w:id="0">
    <w:p w:rsidR="00D27A34" w:rsidRDefault="00D27A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C0" w:rsidRDefault="00137AC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C4424" w:rsidTr="005558E0">
      <w:tc>
        <w:tcPr>
          <w:tcW w:w="2160" w:type="dxa"/>
          <w:shd w:val="clear" w:color="auto" w:fill="auto"/>
        </w:tcPr>
        <w:p w:rsidR="00137AC0" w:rsidRPr="00044613" w:rsidRDefault="00137AC0" w:rsidP="005558E0">
          <w:pPr>
            <w:pStyle w:val="Huisstijl-Adres"/>
          </w:pPr>
        </w:p>
      </w:tc>
    </w:tr>
    <w:tr w:rsidR="003C4424" w:rsidTr="005558E0">
      <w:trPr>
        <w:trHeight w:hRule="exact" w:val="200"/>
      </w:trPr>
      <w:tc>
        <w:tcPr>
          <w:tcW w:w="2160" w:type="dxa"/>
          <w:shd w:val="clear" w:color="auto" w:fill="auto"/>
        </w:tcPr>
        <w:p w:rsidR="00137AC0" w:rsidRPr="005819CE" w:rsidRDefault="00137AC0" w:rsidP="005558E0"/>
      </w:tc>
    </w:tr>
    <w:tr w:rsidR="003C4424" w:rsidTr="005558E0">
      <w:tc>
        <w:tcPr>
          <w:tcW w:w="2160" w:type="dxa"/>
          <w:shd w:val="clear" w:color="auto" w:fill="auto"/>
        </w:tcPr>
        <w:p w:rsidR="00137AC0" w:rsidRDefault="00032FBA" w:rsidP="00C54BBB">
          <w:pPr>
            <w:spacing w:line="180" w:lineRule="exact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Datum</w:t>
          </w:r>
        </w:p>
        <w:p w:rsidR="00C54BBB" w:rsidRPr="00C54BBB" w:rsidRDefault="00C54BBB" w:rsidP="00C54BBB">
          <w:pPr>
            <w:spacing w:after="92" w:line="180" w:lineRule="exact"/>
            <w:rPr>
              <w:sz w:val="13"/>
              <w:szCs w:val="13"/>
            </w:rPr>
          </w:pPr>
        </w:p>
      </w:tc>
    </w:tr>
  </w:tbl>
  <w:p w:rsidR="007A3F7B" w:rsidRPr="007A3F7B" w:rsidRDefault="007A3F7B" w:rsidP="007A3F7B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C4424" w:rsidTr="009D5D50">
      <w:trPr>
        <w:trHeight w:hRule="exact" w:val="400"/>
      </w:trPr>
      <w:tc>
        <w:tcPr>
          <w:tcW w:w="7520" w:type="dxa"/>
          <w:shd w:val="clear" w:color="auto" w:fill="auto"/>
        </w:tcPr>
        <w:p w:rsidR="00137AC0" w:rsidRPr="00275984" w:rsidRDefault="00137AC0" w:rsidP="009D5D50">
          <w:pPr>
            <w:spacing w:line="240" w:lineRule="auto"/>
            <w:rPr>
              <w:sz w:val="12"/>
              <w:szCs w:val="12"/>
            </w:rPr>
          </w:pPr>
        </w:p>
      </w:tc>
    </w:tr>
  </w:tbl>
  <w:p w:rsidR="00137AC0" w:rsidRPr="00740712" w:rsidRDefault="00137AC0" w:rsidP="004F44C2"/>
  <w:p w:rsidR="00137AC0" w:rsidRPr="00217880" w:rsidRDefault="00137AC0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C0" w:rsidRDefault="00032FBA">
    <w:pPr>
      <w:framePr w:w="737" w:h="2104" w:hRule="exact" w:wrap="around" w:vAnchor="page" w:hAnchor="page" w:x="5586" w:y="1" w:anchorLock="1"/>
    </w:pPr>
    <w:r>
      <w:rPr>
        <w:noProof/>
      </w:rPr>
      <w:drawing>
        <wp:inline distT="0" distB="0" distL="0" distR="0" wp14:anchorId="2D691775" wp14:editId="33B5B15B">
          <wp:extent cx="466725" cy="1581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216853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ECA" w:rsidRDefault="00032FBA" w:rsidP="00D037A9">
    <w:pPr>
      <w:framePr w:w="3873" w:h="2625" w:hRule="exact" w:wrap="around" w:vAnchor="page" w:hAnchor="page" w:x="6323" w:y="1"/>
    </w:pPr>
    <w:r>
      <w:rPr>
        <w:noProof/>
      </w:rPr>
      <w:drawing>
        <wp:inline distT="0" distB="0" distL="0" distR="0" wp14:anchorId="5C61BF55" wp14:editId="2CF60077">
          <wp:extent cx="2447925" cy="1657350"/>
          <wp:effectExtent l="0" t="0" r="0" b="0"/>
          <wp:docPr id="659757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61826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ECA" w:rsidRDefault="00483ECA" w:rsidP="00D037A9"/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5300"/>
    </w:tblGrid>
    <w:tr w:rsidR="003C4424" w:rsidTr="00DA6C91">
      <w:trPr>
        <w:trHeight w:hRule="exact" w:val="397"/>
      </w:trPr>
      <w:tc>
        <w:tcPr>
          <w:tcW w:w="7520" w:type="dxa"/>
          <w:gridSpan w:val="2"/>
          <w:shd w:val="clear" w:color="auto" w:fill="auto"/>
        </w:tcPr>
        <w:p w:rsidR="00137AC0" w:rsidRPr="00A273D8" w:rsidRDefault="00137AC0" w:rsidP="00A273D8">
          <w:pPr>
            <w:spacing w:line="180" w:lineRule="exact"/>
            <w:rPr>
              <w:b/>
              <w:sz w:val="13"/>
              <w:szCs w:val="13"/>
            </w:rPr>
          </w:pPr>
        </w:p>
      </w:tc>
    </w:tr>
    <w:tr w:rsidR="003C4424" w:rsidTr="00D858B8">
      <w:trPr>
        <w:cantSplit/>
        <w:trHeight w:hRule="exact" w:val="1758"/>
      </w:trPr>
      <w:tc>
        <w:tcPr>
          <w:tcW w:w="7520" w:type="dxa"/>
          <w:gridSpan w:val="2"/>
          <w:shd w:val="clear" w:color="auto" w:fill="auto"/>
        </w:tcPr>
        <w:p w:rsidR="00301C26" w:rsidRPr="00301C26" w:rsidRDefault="00032FBA" w:rsidP="00301C26">
          <w:pPr>
            <w:spacing w:line="180" w:lineRule="exact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TER BESLUITVORMING</w:t>
          </w:r>
        </w:p>
        <w:p w:rsidR="00D858B8" w:rsidRPr="00A273D8" w:rsidRDefault="00032FBA" w:rsidP="00F40BA4">
          <w:r w:rsidRPr="00A273D8">
            <w:t xml:space="preserve">Aan: </w:t>
          </w:r>
          <w:proofErr w:type="spellStart"/>
          <w:r>
            <w:t>Ketenregieoverleg</w:t>
          </w:r>
          <w:proofErr w:type="spellEnd"/>
          <w:r>
            <w:t xml:space="preserve"> PO-VO</w:t>
          </w:r>
        </w:p>
      </w:tc>
    </w:tr>
    <w:tr w:rsidR="003C4424" w:rsidTr="009D5D50">
      <w:trPr>
        <w:trHeight w:val="460"/>
      </w:trPr>
      <w:tc>
        <w:tcPr>
          <w:tcW w:w="2220" w:type="dxa"/>
          <w:vMerge w:val="restart"/>
          <w:shd w:val="clear" w:color="auto" w:fill="auto"/>
        </w:tcPr>
        <w:p w:rsidR="00BE69B9" w:rsidRDefault="00032FBA" w:rsidP="009D5D50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747C8DE0" wp14:editId="695BB080">
                <wp:simplePos x="0" y="0"/>
                <wp:positionH relativeFrom="page">
                  <wp:posOffset>-1270</wp:posOffset>
                </wp:positionH>
                <wp:positionV relativeFrom="page">
                  <wp:posOffset>103505</wp:posOffset>
                </wp:positionV>
                <wp:extent cx="704850" cy="428625"/>
                <wp:effectExtent l="0" t="0" r="0" b="0"/>
                <wp:wrapSquare wrapText="bothSides"/>
                <wp:docPr id="13" name="Picture 1" descr="no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5687930" name="Picture 1" descr="no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28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00" w:type="dxa"/>
          <w:shd w:val="clear" w:color="auto" w:fill="auto"/>
        </w:tcPr>
        <w:p w:rsidR="00137AC0" w:rsidRDefault="00137AC0" w:rsidP="009D5D50"/>
      </w:tc>
    </w:tr>
    <w:tr w:rsidR="003C4424" w:rsidTr="009D5D50">
      <w:trPr>
        <w:trHeight w:val="560"/>
      </w:trPr>
      <w:tc>
        <w:tcPr>
          <w:tcW w:w="2220" w:type="dxa"/>
          <w:vMerge/>
          <w:shd w:val="clear" w:color="auto" w:fill="auto"/>
        </w:tcPr>
        <w:p w:rsidR="00137AC0" w:rsidRDefault="00137AC0" w:rsidP="009D5D50"/>
      </w:tc>
      <w:tc>
        <w:tcPr>
          <w:tcW w:w="5300" w:type="dxa"/>
          <w:shd w:val="clear" w:color="auto" w:fill="auto"/>
        </w:tcPr>
        <w:p w:rsidR="00137AC0" w:rsidRPr="00F06766" w:rsidRDefault="00032FBA" w:rsidP="00294743">
          <w:r>
            <w:t>Voorstel voor afspraken over beveiligingsstandaarden</w:t>
          </w:r>
        </w:p>
      </w:tc>
    </w:tr>
  </w:tbl>
  <w:p w:rsidR="00137AC0" w:rsidRDefault="00137AC0" w:rsidP="00044613">
    <w:pPr>
      <w:pStyle w:val="Koptekst"/>
    </w:pPr>
  </w:p>
  <w:p w:rsidR="00570965" w:rsidRDefault="00570965" w:rsidP="00044613">
    <w:pPr>
      <w:pStyle w:val="Koptekst"/>
    </w:pPr>
  </w:p>
  <w:p w:rsidR="00C30273" w:rsidRDefault="00C30273" w:rsidP="00044613">
    <w:pPr>
      <w:pStyle w:val="Koptekst"/>
    </w:pPr>
  </w:p>
  <w:p w:rsidR="00C30273" w:rsidRPr="00BC4AE3" w:rsidRDefault="00C30273" w:rsidP="0004461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A80ED4"/>
    <w:multiLevelType w:val="hybridMultilevel"/>
    <w:tmpl w:val="50F0923E"/>
    <w:lvl w:ilvl="0" w:tplc="872C0AA2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C422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3A7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29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0AC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EE2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04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623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6E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56B1F0D"/>
    <w:multiLevelType w:val="hybridMultilevel"/>
    <w:tmpl w:val="50F0923E"/>
    <w:lvl w:ilvl="0" w:tplc="04F6D32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3A68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C04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A3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A9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5AB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4E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A9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6E4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24FC2"/>
    <w:multiLevelType w:val="hybridMultilevel"/>
    <w:tmpl w:val="1D8E1FCE"/>
    <w:lvl w:ilvl="0" w:tplc="18FCBB96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7308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449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29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2D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4C7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0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E8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20F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13E1E"/>
    <w:multiLevelType w:val="hybridMultilevel"/>
    <w:tmpl w:val="B09CD4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25FDE"/>
    <w:multiLevelType w:val="hybridMultilevel"/>
    <w:tmpl w:val="1F928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D0BF2"/>
    <w:multiLevelType w:val="hybridMultilevel"/>
    <w:tmpl w:val="1D8E1FCE"/>
    <w:lvl w:ilvl="0" w:tplc="5FE2C31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37E3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A8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40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E1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C60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A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C9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DAB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14"/>
    <w:rsid w:val="00003DC6"/>
    <w:rsid w:val="000154E7"/>
    <w:rsid w:val="00032FBA"/>
    <w:rsid w:val="00044613"/>
    <w:rsid w:val="00084A7B"/>
    <w:rsid w:val="000B7420"/>
    <w:rsid w:val="000C579D"/>
    <w:rsid w:val="000D1788"/>
    <w:rsid w:val="00137AC0"/>
    <w:rsid w:val="001D3A63"/>
    <w:rsid w:val="00217880"/>
    <w:rsid w:val="00236CFE"/>
    <w:rsid w:val="00275984"/>
    <w:rsid w:val="00285439"/>
    <w:rsid w:val="00294743"/>
    <w:rsid w:val="002B29B6"/>
    <w:rsid w:val="00301C26"/>
    <w:rsid w:val="003371F3"/>
    <w:rsid w:val="003C4424"/>
    <w:rsid w:val="003F1F6B"/>
    <w:rsid w:val="004023CC"/>
    <w:rsid w:val="0044526D"/>
    <w:rsid w:val="00453E3E"/>
    <w:rsid w:val="00483ECA"/>
    <w:rsid w:val="004E2CD9"/>
    <w:rsid w:val="004F44C2"/>
    <w:rsid w:val="005558E0"/>
    <w:rsid w:val="00564783"/>
    <w:rsid w:val="00570965"/>
    <w:rsid w:val="005819CE"/>
    <w:rsid w:val="006371FE"/>
    <w:rsid w:val="006750D3"/>
    <w:rsid w:val="006E16CF"/>
    <w:rsid w:val="00740712"/>
    <w:rsid w:val="007768CC"/>
    <w:rsid w:val="007A3F7B"/>
    <w:rsid w:val="007E4BC1"/>
    <w:rsid w:val="00826696"/>
    <w:rsid w:val="00834D38"/>
    <w:rsid w:val="00856A15"/>
    <w:rsid w:val="008B6F54"/>
    <w:rsid w:val="008C356D"/>
    <w:rsid w:val="00921CAE"/>
    <w:rsid w:val="009D5D50"/>
    <w:rsid w:val="00A14F53"/>
    <w:rsid w:val="00A273D8"/>
    <w:rsid w:val="00A553AA"/>
    <w:rsid w:val="00A664D6"/>
    <w:rsid w:val="00A6706B"/>
    <w:rsid w:val="00AA18CF"/>
    <w:rsid w:val="00AA215E"/>
    <w:rsid w:val="00AC13D5"/>
    <w:rsid w:val="00BC3B53"/>
    <w:rsid w:val="00BC4AE3"/>
    <w:rsid w:val="00BE69B9"/>
    <w:rsid w:val="00C0601E"/>
    <w:rsid w:val="00C30273"/>
    <w:rsid w:val="00C460F8"/>
    <w:rsid w:val="00C54BBB"/>
    <w:rsid w:val="00CB7ABA"/>
    <w:rsid w:val="00D037A9"/>
    <w:rsid w:val="00D27A34"/>
    <w:rsid w:val="00D36653"/>
    <w:rsid w:val="00D84A14"/>
    <w:rsid w:val="00D858B8"/>
    <w:rsid w:val="00DC157C"/>
    <w:rsid w:val="00F06766"/>
    <w:rsid w:val="00F40BA4"/>
    <w:rsid w:val="00F6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9D5D50"/>
    <w:rPr>
      <w:rFonts w:ascii="Verdana" w:hAnsi="Verdana" w:cs="Verdana"/>
      <w:noProof/>
      <w:sz w:val="13"/>
      <w:szCs w:val="13"/>
      <w:lang w:val="nl-NL" w:eastAsia="nl-NL" w:bidi="ar-SA"/>
    </w:rPr>
  </w:style>
  <w:style w:type="character" w:customStyle="1" w:styleId="Huisstijl-KopjeChar">
    <w:name w:val="Huisstijl-Kopje Char"/>
    <w:link w:val="Huisstijl-Kopje"/>
    <w:rsid w:val="00DA6C91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standaard-tekst">
    <w:name w:val="standaard-tekst"/>
    <w:basedOn w:val="Standaard"/>
    <w:rsid w:val="00C54BBB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ocw-section">
    <w:name w:val="ocw-section"/>
    <w:basedOn w:val="standaard-tekst"/>
    <w:next w:val="Standaard"/>
    <w:rsid w:val="00C54BBB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spacing w:before="120" w:after="120" w:line="360" w:lineRule="auto"/>
    </w:pPr>
    <w:rPr>
      <w:b/>
      <w:lang w:eastAsia="en-US"/>
    </w:rPr>
  </w:style>
  <w:style w:type="paragraph" w:customStyle="1" w:styleId="hiddentext">
    <w:name w:val="hiddentext"/>
    <w:basedOn w:val="standaard-tekst"/>
    <w:rsid w:val="00C54BBB"/>
    <w:rPr>
      <w:noProof/>
      <w:vanish/>
      <w:color w:val="800000"/>
    </w:rPr>
  </w:style>
  <w:style w:type="paragraph" w:customStyle="1" w:styleId="tabel-tekst">
    <w:name w:val="tabel-tekst"/>
    <w:basedOn w:val="standaard-tekst"/>
    <w:rsid w:val="00F72B08"/>
    <w:rPr>
      <w:sz w:val="13"/>
    </w:rPr>
  </w:style>
  <w:style w:type="character" w:customStyle="1" w:styleId="Kop1Char">
    <w:name w:val="Kop 1 Char"/>
    <w:link w:val="Kop1"/>
    <w:rsid w:val="003371F3"/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link w:val="Kop2"/>
    <w:rsid w:val="003371F3"/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link w:val="Kop3"/>
    <w:rsid w:val="003371F3"/>
    <w:rPr>
      <w:rFonts w:ascii="Verdana" w:eastAsia="Times New Roman" w:hAnsi="Verdana" w:cs="Arial"/>
      <w:b/>
      <w:bCs/>
      <w:sz w:val="26"/>
      <w:szCs w:val="26"/>
      <w:lang w:eastAsia="nl-NL"/>
    </w:rPr>
  </w:style>
  <w:style w:type="paragraph" w:styleId="Geenafstand">
    <w:name w:val="No Spacing"/>
    <w:uiPriority w:val="1"/>
    <w:qFormat/>
    <w:rsid w:val="001D3A63"/>
    <w:rPr>
      <w:rFonts w:ascii="Verdana" w:hAnsi="Verdana"/>
      <w:sz w:val="18"/>
      <w:szCs w:val="24"/>
      <w:lang w:val="nl-NL" w:eastAsia="nl-NL"/>
    </w:rPr>
  </w:style>
  <w:style w:type="character" w:customStyle="1" w:styleId="KoptekstChar">
    <w:name w:val="Koptekst Char"/>
    <w:link w:val="Koptekst"/>
    <w:uiPriority w:val="99"/>
    <w:rsid w:val="00C0601E"/>
    <w:rPr>
      <w:rFonts w:ascii="Verdana" w:hAnsi="Verdana"/>
      <w:sz w:val="18"/>
      <w:szCs w:val="24"/>
    </w:rPr>
  </w:style>
  <w:style w:type="character" w:customStyle="1" w:styleId="VoettekstChar">
    <w:name w:val="Voettekst Char"/>
    <w:link w:val="Voettekst"/>
    <w:uiPriority w:val="99"/>
    <w:rsid w:val="00C0601E"/>
    <w:rPr>
      <w:rFonts w:ascii="Verdana" w:hAnsi="Verdana"/>
      <w:sz w:val="18"/>
      <w:szCs w:val="24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6706B"/>
    <w:pPr>
      <w:ind w:left="720"/>
      <w:contextualSpacing/>
    </w:pPr>
  </w:style>
  <w:style w:type="character" w:styleId="Verwijzingopmerking">
    <w:name w:val="annotation reference"/>
    <w:basedOn w:val="Standaardalinea-lettertype"/>
    <w:rsid w:val="00A6706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670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6706B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670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6706B"/>
    <w:rPr>
      <w:rFonts w:ascii="Verdana" w:hAnsi="Verdana"/>
      <w:b/>
      <w:bC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9D5D50"/>
    <w:rPr>
      <w:rFonts w:ascii="Verdana" w:hAnsi="Verdana" w:cs="Verdana"/>
      <w:noProof/>
      <w:sz w:val="13"/>
      <w:szCs w:val="13"/>
      <w:lang w:val="nl-NL" w:eastAsia="nl-NL" w:bidi="ar-SA"/>
    </w:rPr>
  </w:style>
  <w:style w:type="character" w:customStyle="1" w:styleId="Huisstijl-KopjeChar">
    <w:name w:val="Huisstijl-Kopje Char"/>
    <w:link w:val="Huisstijl-Kopje"/>
    <w:rsid w:val="00DA6C91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standaard-tekst">
    <w:name w:val="standaard-tekst"/>
    <w:basedOn w:val="Standaard"/>
    <w:rsid w:val="00C54BBB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ocw-section">
    <w:name w:val="ocw-section"/>
    <w:basedOn w:val="standaard-tekst"/>
    <w:next w:val="Standaard"/>
    <w:rsid w:val="00C54BBB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spacing w:before="120" w:after="120" w:line="360" w:lineRule="auto"/>
    </w:pPr>
    <w:rPr>
      <w:b/>
      <w:lang w:eastAsia="en-US"/>
    </w:rPr>
  </w:style>
  <w:style w:type="paragraph" w:customStyle="1" w:styleId="hiddentext">
    <w:name w:val="hiddentext"/>
    <w:basedOn w:val="standaard-tekst"/>
    <w:rsid w:val="00C54BBB"/>
    <w:rPr>
      <w:noProof/>
      <w:vanish/>
      <w:color w:val="800000"/>
    </w:rPr>
  </w:style>
  <w:style w:type="paragraph" w:customStyle="1" w:styleId="tabel-tekst">
    <w:name w:val="tabel-tekst"/>
    <w:basedOn w:val="standaard-tekst"/>
    <w:rsid w:val="00F72B08"/>
    <w:rPr>
      <w:sz w:val="13"/>
    </w:rPr>
  </w:style>
  <w:style w:type="character" w:customStyle="1" w:styleId="Kop1Char">
    <w:name w:val="Kop 1 Char"/>
    <w:link w:val="Kop1"/>
    <w:rsid w:val="003371F3"/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link w:val="Kop2"/>
    <w:rsid w:val="003371F3"/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link w:val="Kop3"/>
    <w:rsid w:val="003371F3"/>
    <w:rPr>
      <w:rFonts w:ascii="Verdana" w:eastAsia="Times New Roman" w:hAnsi="Verdana" w:cs="Arial"/>
      <w:b/>
      <w:bCs/>
      <w:sz w:val="26"/>
      <w:szCs w:val="26"/>
      <w:lang w:eastAsia="nl-NL"/>
    </w:rPr>
  </w:style>
  <w:style w:type="paragraph" w:styleId="Geenafstand">
    <w:name w:val="No Spacing"/>
    <w:uiPriority w:val="1"/>
    <w:qFormat/>
    <w:rsid w:val="001D3A63"/>
    <w:rPr>
      <w:rFonts w:ascii="Verdana" w:hAnsi="Verdana"/>
      <w:sz w:val="18"/>
      <w:szCs w:val="24"/>
      <w:lang w:val="nl-NL" w:eastAsia="nl-NL"/>
    </w:rPr>
  </w:style>
  <w:style w:type="character" w:customStyle="1" w:styleId="KoptekstChar">
    <w:name w:val="Koptekst Char"/>
    <w:link w:val="Koptekst"/>
    <w:uiPriority w:val="99"/>
    <w:rsid w:val="00C0601E"/>
    <w:rPr>
      <w:rFonts w:ascii="Verdana" w:hAnsi="Verdana"/>
      <w:sz w:val="18"/>
      <w:szCs w:val="24"/>
    </w:rPr>
  </w:style>
  <w:style w:type="character" w:customStyle="1" w:styleId="VoettekstChar">
    <w:name w:val="Voettekst Char"/>
    <w:link w:val="Voettekst"/>
    <w:uiPriority w:val="99"/>
    <w:rsid w:val="00C0601E"/>
    <w:rPr>
      <w:rFonts w:ascii="Verdana" w:hAnsi="Verdana"/>
      <w:sz w:val="18"/>
      <w:szCs w:val="24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6706B"/>
    <w:pPr>
      <w:ind w:left="720"/>
      <w:contextualSpacing/>
    </w:pPr>
  </w:style>
  <w:style w:type="character" w:styleId="Verwijzingopmerking">
    <w:name w:val="annotation reference"/>
    <w:basedOn w:val="Standaardalinea-lettertype"/>
    <w:rsid w:val="00A6706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670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6706B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670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6706B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5A4F7EC7.dotm</Template>
  <TotalTime>46</TotalTime>
  <Pages>1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OCW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Schoonens, Chris</cp:lastModifiedBy>
  <cp:revision>6</cp:revision>
  <dcterms:created xsi:type="dcterms:W3CDTF">2020-02-13T11:11:00Z</dcterms:created>
  <dcterms:modified xsi:type="dcterms:W3CDTF">2020-02-28T12:35:00Z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O425SCH</vt:lpwstr>
  </property>
  <property fmtid="{D5CDD505-2E9C-101B-9397-08002B2CF9AE}" pid="3" name="cs_objectid">
    <vt:lpwstr>21441123</vt:lpwstr>
  </property>
  <property fmtid="{D5CDD505-2E9C-101B-9397-08002B2CF9AE}" pid="4" name="ocw_betreft">
    <vt:lpwstr>Voorstel voor maken bestuurlijke afspraken over beveiligingsstandaarden</vt:lpwstr>
  </property>
  <property fmtid="{D5CDD505-2E9C-101B-9397-08002B2CF9AE}" pid="5" name="ocw_directie">
    <vt:lpwstr>PO/K&amp;L</vt:lpwstr>
  </property>
  <property fmtid="{D5CDD505-2E9C-101B-9397-08002B2CF9AE}" pid="6" name="sjabloon.edocs.documenttype">
    <vt:lpwstr>NOTA</vt:lpwstr>
  </property>
  <property fmtid="{D5CDD505-2E9C-101B-9397-08002B2CF9AE}" pid="7" name="sjabloon.edocs.documentvorm">
    <vt:lpwstr>NOTA TER BESLUITVORMING</vt:lpwstr>
  </property>
  <property fmtid="{D5CDD505-2E9C-101B-9397-08002B2CF9AE}" pid="8" name="sjabloon.edocs.richting">
    <vt:lpwstr>INTERN</vt:lpwstr>
  </property>
</Properties>
</file>