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5922D" w14:textId="77777777" w:rsidR="00717CDA" w:rsidRPr="00773194" w:rsidRDefault="00717CDA" w:rsidP="00427697">
      <w:pPr>
        <w:pStyle w:val="Titel"/>
        <w:rPr>
          <w:rFonts w:ascii="Aptos Display" w:hAnsi="Aptos Display"/>
          <w:b/>
          <w:bCs/>
          <w:sz w:val="32"/>
          <w:szCs w:val="32"/>
          <w:lang w:val="nl-NL"/>
        </w:rPr>
      </w:pPr>
    </w:p>
    <w:p w14:paraId="1F382139" w14:textId="4203B6AD" w:rsidR="00781E65" w:rsidRPr="00773194" w:rsidRDefault="00AB41EF" w:rsidP="00427697">
      <w:pPr>
        <w:pStyle w:val="Titel"/>
        <w:rPr>
          <w:rFonts w:ascii="Aptos Display" w:hAnsi="Aptos Display"/>
          <w:b/>
          <w:bCs/>
          <w:sz w:val="32"/>
          <w:szCs w:val="32"/>
          <w:lang w:val="nl-NL"/>
        </w:rPr>
      </w:pPr>
      <w:r w:rsidRPr="00773194">
        <w:rPr>
          <w:rFonts w:ascii="Aptos Display" w:hAnsi="Aptos Display"/>
          <w:b/>
          <w:bCs/>
          <w:sz w:val="32"/>
          <w:szCs w:val="32"/>
          <w:lang w:val="nl-NL"/>
        </w:rPr>
        <w:t xml:space="preserve">Memo: </w:t>
      </w:r>
      <w:r w:rsidR="008C3BCB" w:rsidRPr="008C3BCB">
        <w:rPr>
          <w:rFonts w:ascii="Aptos Display" w:hAnsi="Aptos Display"/>
          <w:b/>
          <w:bCs/>
          <w:sz w:val="32"/>
          <w:szCs w:val="32"/>
          <w:lang w:val="nl-NL"/>
        </w:rPr>
        <w:t>Positionering Certificeringsschema IBP ROSA ten opzichte van andere beveiligingskaders</w:t>
      </w:r>
    </w:p>
    <w:p w14:paraId="06F712CA" w14:textId="77777777" w:rsidR="00943766" w:rsidRPr="00773194" w:rsidRDefault="00943766" w:rsidP="00570CDC">
      <w:pPr>
        <w:pStyle w:val="Geenafstand"/>
        <w:rPr>
          <w:sz w:val="24"/>
          <w:szCs w:val="24"/>
          <w:lang w:val="nl-NL"/>
        </w:rPr>
      </w:pPr>
    </w:p>
    <w:tbl>
      <w:tblPr>
        <w:tblStyle w:val="2"/>
        <w:tblW w:w="8931" w:type="dxa"/>
        <w:tblLayout w:type="fixed"/>
        <w:tblLook w:val="0600" w:firstRow="0" w:lastRow="0" w:firstColumn="0" w:lastColumn="0" w:noHBand="1" w:noVBand="1"/>
      </w:tblPr>
      <w:tblGrid>
        <w:gridCol w:w="1796"/>
        <w:gridCol w:w="7135"/>
      </w:tblGrid>
      <w:tr w:rsidR="00781E65" w:rsidRPr="00773194" w14:paraId="762C22C8" w14:textId="77777777" w:rsidTr="005867CE">
        <w:tc>
          <w:tcPr>
            <w:tcW w:w="1796" w:type="dxa"/>
            <w:tcBorders>
              <w:top w:val="single" w:sz="8" w:space="0" w:color="000000"/>
            </w:tcBorders>
            <w:tcMar>
              <w:top w:w="100" w:type="dxa"/>
              <w:left w:w="100" w:type="dxa"/>
              <w:bottom w:w="100" w:type="dxa"/>
              <w:right w:w="100" w:type="dxa"/>
            </w:tcMar>
          </w:tcPr>
          <w:p w14:paraId="475F4992" w14:textId="092CAF9F" w:rsidR="00781E65" w:rsidRPr="00773194" w:rsidRDefault="00CC34FE" w:rsidP="00570CDC">
            <w:pPr>
              <w:pStyle w:val="Geenafstand"/>
              <w:rPr>
                <w:sz w:val="24"/>
                <w:szCs w:val="24"/>
              </w:rPr>
            </w:pPr>
            <w:r w:rsidRPr="00773194">
              <w:rPr>
                <w:sz w:val="24"/>
                <w:szCs w:val="24"/>
              </w:rPr>
              <w:t>Voor:</w:t>
            </w:r>
          </w:p>
        </w:tc>
        <w:tc>
          <w:tcPr>
            <w:tcW w:w="7135" w:type="dxa"/>
            <w:tcBorders>
              <w:top w:val="single" w:sz="8" w:space="0" w:color="000000"/>
            </w:tcBorders>
            <w:tcMar>
              <w:top w:w="100" w:type="dxa"/>
              <w:left w:w="100" w:type="dxa"/>
              <w:bottom w:w="100" w:type="dxa"/>
              <w:right w:w="100" w:type="dxa"/>
            </w:tcMar>
          </w:tcPr>
          <w:p w14:paraId="2D9632EB" w14:textId="33825995" w:rsidR="00781E65" w:rsidRPr="00773194" w:rsidRDefault="009C013B" w:rsidP="00570CDC">
            <w:pPr>
              <w:pStyle w:val="Geenafstand"/>
              <w:rPr>
                <w:sz w:val="24"/>
                <w:szCs w:val="24"/>
              </w:rPr>
            </w:pPr>
            <w:r w:rsidRPr="00773194">
              <w:rPr>
                <w:sz w:val="24"/>
                <w:szCs w:val="24"/>
              </w:rPr>
              <w:t xml:space="preserve">Architectuurraad en </w:t>
            </w:r>
            <w:r w:rsidR="00CC34FE" w:rsidRPr="00773194">
              <w:rPr>
                <w:sz w:val="24"/>
                <w:szCs w:val="24"/>
              </w:rPr>
              <w:t>Standaardisatieraad, Edustandaard</w:t>
            </w:r>
          </w:p>
        </w:tc>
      </w:tr>
      <w:tr w:rsidR="00781E65" w:rsidRPr="00773194" w14:paraId="55A0718D" w14:textId="77777777" w:rsidTr="005867CE">
        <w:tc>
          <w:tcPr>
            <w:tcW w:w="1796" w:type="dxa"/>
            <w:tcMar>
              <w:top w:w="100" w:type="dxa"/>
              <w:left w:w="100" w:type="dxa"/>
              <w:bottom w:w="100" w:type="dxa"/>
              <w:right w:w="100" w:type="dxa"/>
            </w:tcMar>
          </w:tcPr>
          <w:p w14:paraId="163F4274" w14:textId="77777777" w:rsidR="00781E65" w:rsidRPr="00773194" w:rsidRDefault="00CC34FE" w:rsidP="00570CDC">
            <w:pPr>
              <w:pStyle w:val="Geenafstand"/>
              <w:rPr>
                <w:sz w:val="24"/>
                <w:szCs w:val="24"/>
              </w:rPr>
            </w:pPr>
            <w:r w:rsidRPr="00773194">
              <w:rPr>
                <w:sz w:val="24"/>
                <w:szCs w:val="24"/>
              </w:rPr>
              <w:t>Van:</w:t>
            </w:r>
          </w:p>
        </w:tc>
        <w:tc>
          <w:tcPr>
            <w:tcW w:w="7135" w:type="dxa"/>
            <w:tcMar>
              <w:top w:w="100" w:type="dxa"/>
              <w:left w:w="100" w:type="dxa"/>
              <w:bottom w:w="100" w:type="dxa"/>
              <w:right w:w="100" w:type="dxa"/>
            </w:tcMar>
          </w:tcPr>
          <w:p w14:paraId="13E50FEB" w14:textId="5D9C9D30" w:rsidR="00781E65" w:rsidRPr="00773194" w:rsidRDefault="009C013B" w:rsidP="00570CDC">
            <w:pPr>
              <w:pStyle w:val="Geenafstand"/>
              <w:rPr>
                <w:sz w:val="24"/>
                <w:szCs w:val="24"/>
              </w:rPr>
            </w:pPr>
            <w:r w:rsidRPr="00773194">
              <w:rPr>
                <w:sz w:val="24"/>
                <w:szCs w:val="24"/>
              </w:rPr>
              <w:t xml:space="preserve">Jordy van den Elshout en </w:t>
            </w:r>
            <w:r w:rsidR="00CC34FE" w:rsidRPr="00773194">
              <w:rPr>
                <w:sz w:val="24"/>
                <w:szCs w:val="24"/>
              </w:rPr>
              <w:t>B</w:t>
            </w:r>
            <w:r w:rsidR="00AB41EF" w:rsidRPr="00773194">
              <w:rPr>
                <w:sz w:val="24"/>
                <w:szCs w:val="24"/>
              </w:rPr>
              <w:t>ureau Edustandaard</w:t>
            </w:r>
          </w:p>
        </w:tc>
      </w:tr>
      <w:tr w:rsidR="00781E65" w:rsidRPr="00773194" w14:paraId="34E1FE2B" w14:textId="77777777" w:rsidTr="005867CE">
        <w:tc>
          <w:tcPr>
            <w:tcW w:w="1796" w:type="dxa"/>
            <w:tcMar>
              <w:top w:w="100" w:type="dxa"/>
              <w:left w:w="100" w:type="dxa"/>
              <w:bottom w:w="100" w:type="dxa"/>
              <w:right w:w="100" w:type="dxa"/>
            </w:tcMar>
          </w:tcPr>
          <w:p w14:paraId="07311D7F" w14:textId="77777777" w:rsidR="00781E65" w:rsidRPr="00773194" w:rsidRDefault="00CC34FE" w:rsidP="00570CDC">
            <w:pPr>
              <w:pStyle w:val="Geenafstand"/>
              <w:rPr>
                <w:sz w:val="24"/>
                <w:szCs w:val="24"/>
              </w:rPr>
            </w:pPr>
            <w:r w:rsidRPr="00773194">
              <w:rPr>
                <w:sz w:val="24"/>
                <w:szCs w:val="24"/>
              </w:rPr>
              <w:t>Datum:</w:t>
            </w:r>
          </w:p>
        </w:tc>
        <w:tc>
          <w:tcPr>
            <w:tcW w:w="7135" w:type="dxa"/>
            <w:tcMar>
              <w:top w:w="100" w:type="dxa"/>
              <w:left w:w="100" w:type="dxa"/>
              <w:bottom w:w="100" w:type="dxa"/>
              <w:right w:w="100" w:type="dxa"/>
            </w:tcMar>
          </w:tcPr>
          <w:p w14:paraId="02453A80" w14:textId="00A1A6F9" w:rsidR="00781E65" w:rsidRPr="00773194" w:rsidRDefault="009C013B" w:rsidP="00570CDC">
            <w:pPr>
              <w:pStyle w:val="Geenafstand"/>
              <w:rPr>
                <w:sz w:val="24"/>
                <w:szCs w:val="24"/>
              </w:rPr>
            </w:pPr>
            <w:r w:rsidRPr="00773194">
              <w:rPr>
                <w:sz w:val="24"/>
                <w:szCs w:val="24"/>
              </w:rPr>
              <w:t>07</w:t>
            </w:r>
            <w:r w:rsidR="002E6BD9" w:rsidRPr="00773194">
              <w:rPr>
                <w:sz w:val="24"/>
                <w:szCs w:val="24"/>
              </w:rPr>
              <w:t>-0</w:t>
            </w:r>
            <w:r w:rsidRPr="00773194">
              <w:rPr>
                <w:sz w:val="24"/>
                <w:szCs w:val="24"/>
              </w:rPr>
              <w:t>5</w:t>
            </w:r>
            <w:r w:rsidR="002E6BD9" w:rsidRPr="00773194">
              <w:rPr>
                <w:sz w:val="24"/>
                <w:szCs w:val="24"/>
              </w:rPr>
              <w:t>-2026</w:t>
            </w:r>
          </w:p>
        </w:tc>
      </w:tr>
      <w:tr w:rsidR="00781E65" w:rsidRPr="00773194" w14:paraId="66197A6A" w14:textId="77777777" w:rsidTr="005867CE">
        <w:tc>
          <w:tcPr>
            <w:tcW w:w="1796" w:type="dxa"/>
            <w:tcBorders>
              <w:bottom w:val="single" w:sz="4" w:space="0" w:color="auto"/>
            </w:tcBorders>
            <w:tcMar>
              <w:top w:w="100" w:type="dxa"/>
              <w:left w:w="100" w:type="dxa"/>
              <w:bottom w:w="100" w:type="dxa"/>
              <w:right w:w="100" w:type="dxa"/>
            </w:tcMar>
          </w:tcPr>
          <w:p w14:paraId="5CE07DE8" w14:textId="77777777" w:rsidR="00781E65" w:rsidRPr="00773194" w:rsidRDefault="00CC34FE" w:rsidP="00570CDC">
            <w:pPr>
              <w:pStyle w:val="Geenafstand"/>
              <w:rPr>
                <w:sz w:val="24"/>
                <w:szCs w:val="24"/>
              </w:rPr>
            </w:pPr>
            <w:r w:rsidRPr="00773194">
              <w:rPr>
                <w:sz w:val="24"/>
                <w:szCs w:val="24"/>
              </w:rPr>
              <w:t>Betreft:</w:t>
            </w:r>
          </w:p>
        </w:tc>
        <w:tc>
          <w:tcPr>
            <w:tcW w:w="7135" w:type="dxa"/>
            <w:tcBorders>
              <w:bottom w:val="single" w:sz="4" w:space="0" w:color="auto"/>
            </w:tcBorders>
            <w:tcMar>
              <w:top w:w="100" w:type="dxa"/>
              <w:left w:w="100" w:type="dxa"/>
              <w:bottom w:w="100" w:type="dxa"/>
              <w:right w:w="100" w:type="dxa"/>
            </w:tcMar>
          </w:tcPr>
          <w:p w14:paraId="783D635A" w14:textId="6F0FF320" w:rsidR="00781E65" w:rsidRPr="00060884" w:rsidRDefault="00060884" w:rsidP="00060884">
            <w:r w:rsidRPr="00632F28">
              <w:t>Positionering van het Certificeringsschema IBP ROSA</w:t>
            </w:r>
          </w:p>
        </w:tc>
      </w:tr>
      <w:tr w:rsidR="00CB2663" w:rsidRPr="00773194" w14:paraId="39016D6C" w14:textId="77777777" w:rsidTr="005867CE">
        <w:trPr>
          <w:trHeight w:val="1956"/>
        </w:trPr>
        <w:tc>
          <w:tcPr>
            <w:tcW w:w="8931" w:type="dxa"/>
            <w:gridSpan w:val="2"/>
            <w:tcBorders>
              <w:top w:val="single" w:sz="4" w:space="0" w:color="auto"/>
              <w:bottom w:val="single" w:sz="8" w:space="0" w:color="000000"/>
            </w:tcBorders>
            <w:tcMar>
              <w:top w:w="100" w:type="dxa"/>
              <w:left w:w="100" w:type="dxa"/>
              <w:bottom w:w="100" w:type="dxa"/>
              <w:right w:w="100" w:type="dxa"/>
            </w:tcMar>
          </w:tcPr>
          <w:p w14:paraId="0BAC6CCC" w14:textId="16DE0C65" w:rsidR="00CB2663" w:rsidRPr="00CB2663" w:rsidRDefault="00CB2663" w:rsidP="00CB2663">
            <w:pPr>
              <w:rPr>
                <w:rFonts w:ascii="Aptos Display" w:hAnsi="Aptos Display"/>
                <w:b/>
                <w:bCs/>
                <w:sz w:val="24"/>
                <w:szCs w:val="24"/>
              </w:rPr>
            </w:pPr>
            <w:r>
              <w:rPr>
                <w:rFonts w:ascii="Aptos Display" w:hAnsi="Aptos Display"/>
                <w:b/>
                <w:bCs/>
                <w:sz w:val="24"/>
                <w:szCs w:val="24"/>
              </w:rPr>
              <w:t>I</w:t>
            </w:r>
            <w:r w:rsidRPr="00CB2663">
              <w:rPr>
                <w:rFonts w:ascii="Aptos Display" w:hAnsi="Aptos Display"/>
                <w:b/>
                <w:bCs/>
                <w:sz w:val="24"/>
                <w:szCs w:val="24"/>
              </w:rPr>
              <w:t>nhoud</w:t>
            </w:r>
          </w:p>
          <w:p w14:paraId="70D68B06" w14:textId="77777777" w:rsidR="00CB2663" w:rsidRPr="00CB2663" w:rsidRDefault="00CB2663" w:rsidP="00CB2663">
            <w:pPr>
              <w:pStyle w:val="Inhopg1"/>
              <w:tabs>
                <w:tab w:val="left" w:pos="480"/>
              </w:tabs>
              <w:rPr>
                <w:rFonts w:ascii="Aptos Display" w:eastAsiaTheme="minorEastAsia" w:hAnsi="Aptos Display" w:cstheme="minorBidi"/>
                <w:noProof/>
                <w:kern w:val="2"/>
                <w:sz w:val="24"/>
                <w:szCs w:val="24"/>
                <w:lang w:val="nl-NL"/>
                <w14:ligatures w14:val="standardContextual"/>
              </w:rPr>
            </w:pPr>
            <w:r w:rsidRPr="00CB2663">
              <w:rPr>
                <w:rFonts w:ascii="Aptos Display" w:hAnsi="Aptos Display"/>
                <w:sz w:val="24"/>
                <w:szCs w:val="24"/>
              </w:rPr>
              <w:fldChar w:fldCharType="begin"/>
            </w:r>
            <w:r w:rsidRPr="00CB2663">
              <w:rPr>
                <w:rFonts w:ascii="Aptos Display" w:hAnsi="Aptos Display"/>
                <w:sz w:val="24"/>
                <w:szCs w:val="24"/>
              </w:rPr>
              <w:instrText xml:space="preserve"> TOC \o "1-3" \h \z \u </w:instrText>
            </w:r>
            <w:r w:rsidRPr="00CB2663">
              <w:rPr>
                <w:rFonts w:ascii="Aptos Display" w:hAnsi="Aptos Display"/>
                <w:sz w:val="24"/>
                <w:szCs w:val="24"/>
              </w:rPr>
              <w:fldChar w:fldCharType="separate"/>
            </w:r>
            <w:hyperlink w:anchor="_Toc229055863" w:history="1">
              <w:r w:rsidRPr="00CB2663">
                <w:rPr>
                  <w:rStyle w:val="Hyperlink"/>
                  <w:rFonts w:ascii="Aptos Display" w:hAnsi="Aptos Display"/>
                  <w:noProof/>
                </w:rPr>
                <w:t>1.</w:t>
              </w:r>
              <w:r w:rsidRPr="00CB2663">
                <w:rPr>
                  <w:rFonts w:ascii="Aptos Display" w:eastAsiaTheme="minorEastAsia" w:hAnsi="Aptos Display" w:cstheme="minorBidi"/>
                  <w:noProof/>
                  <w:kern w:val="2"/>
                  <w:sz w:val="24"/>
                  <w:szCs w:val="24"/>
                  <w:lang w:val="nl-NL"/>
                  <w14:ligatures w14:val="standardContextual"/>
                </w:rPr>
                <w:tab/>
              </w:r>
              <w:r w:rsidRPr="00CB2663">
                <w:rPr>
                  <w:rStyle w:val="Hyperlink"/>
                  <w:rFonts w:ascii="Aptos Display" w:hAnsi="Aptos Display"/>
                  <w:noProof/>
                </w:rPr>
                <w:t>Samenvatting</w:t>
              </w:r>
              <w:r w:rsidRPr="00CB2663">
                <w:rPr>
                  <w:rFonts w:ascii="Aptos Display" w:hAnsi="Aptos Display"/>
                  <w:noProof/>
                  <w:webHidden/>
                </w:rPr>
                <w:tab/>
              </w:r>
              <w:r w:rsidRPr="00CB2663">
                <w:rPr>
                  <w:rFonts w:ascii="Aptos Display" w:hAnsi="Aptos Display"/>
                  <w:noProof/>
                  <w:webHidden/>
                </w:rPr>
                <w:fldChar w:fldCharType="begin"/>
              </w:r>
              <w:r w:rsidRPr="00CB2663">
                <w:rPr>
                  <w:rFonts w:ascii="Aptos Display" w:hAnsi="Aptos Display"/>
                  <w:noProof/>
                  <w:webHidden/>
                </w:rPr>
                <w:instrText xml:space="preserve"> PAGEREF _Toc229055863 \h </w:instrText>
              </w:r>
              <w:r w:rsidRPr="00CB2663">
                <w:rPr>
                  <w:rFonts w:ascii="Aptos Display" w:hAnsi="Aptos Display"/>
                  <w:noProof/>
                  <w:webHidden/>
                </w:rPr>
              </w:r>
              <w:r w:rsidRPr="00CB2663">
                <w:rPr>
                  <w:rFonts w:ascii="Aptos Display" w:hAnsi="Aptos Display"/>
                  <w:noProof/>
                  <w:webHidden/>
                </w:rPr>
                <w:fldChar w:fldCharType="separate"/>
              </w:r>
              <w:r w:rsidRPr="00CB2663">
                <w:rPr>
                  <w:rFonts w:ascii="Aptos Display" w:hAnsi="Aptos Display"/>
                  <w:noProof/>
                  <w:webHidden/>
                </w:rPr>
                <w:t>1</w:t>
              </w:r>
              <w:r w:rsidRPr="00CB2663">
                <w:rPr>
                  <w:rFonts w:ascii="Aptos Display" w:hAnsi="Aptos Display"/>
                  <w:noProof/>
                  <w:webHidden/>
                </w:rPr>
                <w:fldChar w:fldCharType="end"/>
              </w:r>
            </w:hyperlink>
          </w:p>
          <w:p w14:paraId="71A058DE" w14:textId="77777777" w:rsidR="00CB2663" w:rsidRPr="00CB2663" w:rsidRDefault="00CB2663" w:rsidP="00CB2663">
            <w:pPr>
              <w:pStyle w:val="Inhopg1"/>
              <w:tabs>
                <w:tab w:val="left" w:pos="480"/>
              </w:tabs>
              <w:rPr>
                <w:rFonts w:ascii="Aptos Display" w:eastAsiaTheme="minorEastAsia" w:hAnsi="Aptos Display" w:cstheme="minorBidi"/>
                <w:noProof/>
                <w:kern w:val="2"/>
                <w:sz w:val="24"/>
                <w:szCs w:val="24"/>
                <w:lang w:val="nl-NL"/>
                <w14:ligatures w14:val="standardContextual"/>
              </w:rPr>
            </w:pPr>
            <w:hyperlink w:anchor="_Toc229055864" w:history="1">
              <w:r w:rsidRPr="00CB2663">
                <w:rPr>
                  <w:rStyle w:val="Hyperlink"/>
                  <w:rFonts w:ascii="Aptos Display" w:hAnsi="Aptos Display"/>
                  <w:noProof/>
                </w:rPr>
                <w:t>2.</w:t>
              </w:r>
              <w:r w:rsidRPr="00CB2663">
                <w:rPr>
                  <w:rFonts w:ascii="Aptos Display" w:eastAsiaTheme="minorEastAsia" w:hAnsi="Aptos Display" w:cstheme="minorBidi"/>
                  <w:noProof/>
                  <w:kern w:val="2"/>
                  <w:sz w:val="24"/>
                  <w:szCs w:val="24"/>
                  <w:lang w:val="nl-NL"/>
                  <w14:ligatures w14:val="standardContextual"/>
                </w:rPr>
                <w:tab/>
              </w:r>
              <w:r w:rsidRPr="00CB2663">
                <w:rPr>
                  <w:rStyle w:val="Hyperlink"/>
                  <w:rFonts w:ascii="Aptos Display" w:hAnsi="Aptos Display"/>
                  <w:noProof/>
                </w:rPr>
                <w:t>Aanleiding</w:t>
              </w:r>
              <w:r w:rsidRPr="00CB2663">
                <w:rPr>
                  <w:rFonts w:ascii="Aptos Display" w:hAnsi="Aptos Display"/>
                  <w:noProof/>
                  <w:webHidden/>
                </w:rPr>
                <w:tab/>
              </w:r>
              <w:r w:rsidRPr="00CB2663">
                <w:rPr>
                  <w:rFonts w:ascii="Aptos Display" w:hAnsi="Aptos Display"/>
                  <w:noProof/>
                  <w:webHidden/>
                </w:rPr>
                <w:fldChar w:fldCharType="begin"/>
              </w:r>
              <w:r w:rsidRPr="00CB2663">
                <w:rPr>
                  <w:rFonts w:ascii="Aptos Display" w:hAnsi="Aptos Display"/>
                  <w:noProof/>
                  <w:webHidden/>
                </w:rPr>
                <w:instrText xml:space="preserve"> PAGEREF _Toc229055864 \h </w:instrText>
              </w:r>
              <w:r w:rsidRPr="00CB2663">
                <w:rPr>
                  <w:rFonts w:ascii="Aptos Display" w:hAnsi="Aptos Display"/>
                  <w:noProof/>
                  <w:webHidden/>
                </w:rPr>
              </w:r>
              <w:r w:rsidRPr="00CB2663">
                <w:rPr>
                  <w:rFonts w:ascii="Aptos Display" w:hAnsi="Aptos Display"/>
                  <w:noProof/>
                  <w:webHidden/>
                </w:rPr>
                <w:fldChar w:fldCharType="separate"/>
              </w:r>
              <w:r w:rsidRPr="00CB2663">
                <w:rPr>
                  <w:rFonts w:ascii="Aptos Display" w:hAnsi="Aptos Display"/>
                  <w:noProof/>
                  <w:webHidden/>
                </w:rPr>
                <w:t>1</w:t>
              </w:r>
              <w:r w:rsidRPr="00CB2663">
                <w:rPr>
                  <w:rFonts w:ascii="Aptos Display" w:hAnsi="Aptos Display"/>
                  <w:noProof/>
                  <w:webHidden/>
                </w:rPr>
                <w:fldChar w:fldCharType="end"/>
              </w:r>
            </w:hyperlink>
          </w:p>
          <w:p w14:paraId="2F7E27DF" w14:textId="77777777" w:rsidR="00CB2663" w:rsidRPr="00CB2663" w:rsidRDefault="00CB2663" w:rsidP="00CB2663">
            <w:pPr>
              <w:pStyle w:val="Inhopg1"/>
              <w:tabs>
                <w:tab w:val="left" w:pos="480"/>
              </w:tabs>
              <w:rPr>
                <w:rFonts w:ascii="Aptos Display" w:eastAsiaTheme="minorEastAsia" w:hAnsi="Aptos Display" w:cstheme="minorBidi"/>
                <w:noProof/>
                <w:kern w:val="2"/>
                <w:sz w:val="24"/>
                <w:szCs w:val="24"/>
                <w:lang w:val="nl-NL"/>
                <w14:ligatures w14:val="standardContextual"/>
              </w:rPr>
            </w:pPr>
            <w:hyperlink w:anchor="_Toc229055865" w:history="1">
              <w:r w:rsidRPr="00CB2663">
                <w:rPr>
                  <w:rStyle w:val="Hyperlink"/>
                  <w:rFonts w:ascii="Aptos Display" w:hAnsi="Aptos Display"/>
                  <w:noProof/>
                </w:rPr>
                <w:t>3.</w:t>
              </w:r>
              <w:r w:rsidRPr="00CB2663">
                <w:rPr>
                  <w:rFonts w:ascii="Aptos Display" w:eastAsiaTheme="minorEastAsia" w:hAnsi="Aptos Display" w:cstheme="minorBidi"/>
                  <w:noProof/>
                  <w:kern w:val="2"/>
                  <w:sz w:val="24"/>
                  <w:szCs w:val="24"/>
                  <w:lang w:val="nl-NL"/>
                  <w14:ligatures w14:val="standardContextual"/>
                </w:rPr>
                <w:tab/>
              </w:r>
              <w:r w:rsidRPr="00CB2663">
                <w:rPr>
                  <w:rStyle w:val="Hyperlink"/>
                  <w:rFonts w:ascii="Aptos Display" w:hAnsi="Aptos Display"/>
                  <w:noProof/>
                </w:rPr>
                <w:t>Positionering ten opzichte van andere beveiligingskaders</w:t>
              </w:r>
              <w:r w:rsidRPr="00CB2663">
                <w:rPr>
                  <w:rFonts w:ascii="Aptos Display" w:hAnsi="Aptos Display"/>
                  <w:noProof/>
                  <w:webHidden/>
                </w:rPr>
                <w:tab/>
              </w:r>
              <w:r w:rsidRPr="00CB2663">
                <w:rPr>
                  <w:rFonts w:ascii="Aptos Display" w:hAnsi="Aptos Display"/>
                  <w:noProof/>
                  <w:webHidden/>
                </w:rPr>
                <w:fldChar w:fldCharType="begin"/>
              </w:r>
              <w:r w:rsidRPr="00CB2663">
                <w:rPr>
                  <w:rFonts w:ascii="Aptos Display" w:hAnsi="Aptos Display"/>
                  <w:noProof/>
                  <w:webHidden/>
                </w:rPr>
                <w:instrText xml:space="preserve"> PAGEREF _Toc229055865 \h </w:instrText>
              </w:r>
              <w:r w:rsidRPr="00CB2663">
                <w:rPr>
                  <w:rFonts w:ascii="Aptos Display" w:hAnsi="Aptos Display"/>
                  <w:noProof/>
                  <w:webHidden/>
                </w:rPr>
              </w:r>
              <w:r w:rsidRPr="00CB2663">
                <w:rPr>
                  <w:rFonts w:ascii="Aptos Display" w:hAnsi="Aptos Display"/>
                  <w:noProof/>
                  <w:webHidden/>
                </w:rPr>
                <w:fldChar w:fldCharType="separate"/>
              </w:r>
              <w:r w:rsidRPr="00CB2663">
                <w:rPr>
                  <w:rFonts w:ascii="Aptos Display" w:hAnsi="Aptos Display"/>
                  <w:noProof/>
                  <w:webHidden/>
                </w:rPr>
                <w:t>2</w:t>
              </w:r>
              <w:r w:rsidRPr="00CB2663">
                <w:rPr>
                  <w:rFonts w:ascii="Aptos Display" w:hAnsi="Aptos Display"/>
                  <w:noProof/>
                  <w:webHidden/>
                </w:rPr>
                <w:fldChar w:fldCharType="end"/>
              </w:r>
            </w:hyperlink>
          </w:p>
          <w:p w14:paraId="15CC6D28" w14:textId="77777777" w:rsidR="00CB2663" w:rsidRPr="00CB2663" w:rsidRDefault="00CB2663" w:rsidP="00CB2663">
            <w:pPr>
              <w:pStyle w:val="Inhopg1"/>
              <w:tabs>
                <w:tab w:val="left" w:pos="480"/>
              </w:tabs>
              <w:rPr>
                <w:rFonts w:ascii="Aptos Display" w:eastAsiaTheme="minorEastAsia" w:hAnsi="Aptos Display" w:cstheme="minorBidi"/>
                <w:noProof/>
                <w:kern w:val="2"/>
                <w:sz w:val="24"/>
                <w:szCs w:val="24"/>
                <w:lang w:val="nl-NL"/>
                <w14:ligatures w14:val="standardContextual"/>
              </w:rPr>
            </w:pPr>
            <w:hyperlink w:anchor="_Toc229055866" w:history="1">
              <w:r w:rsidRPr="00CB2663">
                <w:rPr>
                  <w:rStyle w:val="Hyperlink"/>
                  <w:rFonts w:ascii="Aptos Display" w:hAnsi="Aptos Display"/>
                  <w:noProof/>
                </w:rPr>
                <w:t>4.</w:t>
              </w:r>
              <w:r w:rsidRPr="00CB2663">
                <w:rPr>
                  <w:rFonts w:ascii="Aptos Display" w:eastAsiaTheme="minorEastAsia" w:hAnsi="Aptos Display" w:cstheme="minorBidi"/>
                  <w:noProof/>
                  <w:kern w:val="2"/>
                  <w:sz w:val="24"/>
                  <w:szCs w:val="24"/>
                  <w:lang w:val="nl-NL"/>
                  <w14:ligatures w14:val="standardContextual"/>
                </w:rPr>
                <w:tab/>
              </w:r>
              <w:r w:rsidRPr="00CB2663">
                <w:rPr>
                  <w:rStyle w:val="Hyperlink"/>
                  <w:rFonts w:ascii="Aptos Display" w:hAnsi="Aptos Display"/>
                  <w:noProof/>
                </w:rPr>
                <w:t>Toepassing in de praktijk</w:t>
              </w:r>
              <w:r w:rsidRPr="00CB2663">
                <w:rPr>
                  <w:rFonts w:ascii="Aptos Display" w:hAnsi="Aptos Display"/>
                  <w:noProof/>
                  <w:webHidden/>
                </w:rPr>
                <w:tab/>
              </w:r>
              <w:r w:rsidRPr="00CB2663">
                <w:rPr>
                  <w:rFonts w:ascii="Aptos Display" w:hAnsi="Aptos Display"/>
                  <w:noProof/>
                  <w:webHidden/>
                </w:rPr>
                <w:fldChar w:fldCharType="begin"/>
              </w:r>
              <w:r w:rsidRPr="00CB2663">
                <w:rPr>
                  <w:rFonts w:ascii="Aptos Display" w:hAnsi="Aptos Display"/>
                  <w:noProof/>
                  <w:webHidden/>
                </w:rPr>
                <w:instrText xml:space="preserve"> PAGEREF _Toc229055866 \h </w:instrText>
              </w:r>
              <w:r w:rsidRPr="00CB2663">
                <w:rPr>
                  <w:rFonts w:ascii="Aptos Display" w:hAnsi="Aptos Display"/>
                  <w:noProof/>
                  <w:webHidden/>
                </w:rPr>
              </w:r>
              <w:r w:rsidRPr="00CB2663">
                <w:rPr>
                  <w:rFonts w:ascii="Aptos Display" w:hAnsi="Aptos Display"/>
                  <w:noProof/>
                  <w:webHidden/>
                </w:rPr>
                <w:fldChar w:fldCharType="separate"/>
              </w:r>
              <w:r w:rsidRPr="00CB2663">
                <w:rPr>
                  <w:rFonts w:ascii="Aptos Display" w:hAnsi="Aptos Display"/>
                  <w:noProof/>
                  <w:webHidden/>
                </w:rPr>
                <w:t>2</w:t>
              </w:r>
              <w:r w:rsidRPr="00CB2663">
                <w:rPr>
                  <w:rFonts w:ascii="Aptos Display" w:hAnsi="Aptos Display"/>
                  <w:noProof/>
                  <w:webHidden/>
                </w:rPr>
                <w:fldChar w:fldCharType="end"/>
              </w:r>
            </w:hyperlink>
          </w:p>
          <w:p w14:paraId="5E845485" w14:textId="77777777" w:rsidR="00CB2663" w:rsidRPr="00CB2663" w:rsidRDefault="00CB2663" w:rsidP="00CB2663">
            <w:pPr>
              <w:pStyle w:val="Inhopg1"/>
              <w:tabs>
                <w:tab w:val="left" w:pos="480"/>
              </w:tabs>
              <w:rPr>
                <w:rFonts w:ascii="Aptos Display" w:eastAsiaTheme="minorEastAsia" w:hAnsi="Aptos Display" w:cstheme="minorBidi"/>
                <w:noProof/>
                <w:kern w:val="2"/>
                <w:sz w:val="24"/>
                <w:szCs w:val="24"/>
                <w:lang w:val="nl-NL"/>
                <w14:ligatures w14:val="standardContextual"/>
              </w:rPr>
            </w:pPr>
            <w:hyperlink w:anchor="_Toc229055867" w:history="1">
              <w:r w:rsidRPr="00CB2663">
                <w:rPr>
                  <w:rStyle w:val="Hyperlink"/>
                  <w:rFonts w:ascii="Aptos Display" w:hAnsi="Aptos Display"/>
                  <w:noProof/>
                </w:rPr>
                <w:t>5.</w:t>
              </w:r>
              <w:r w:rsidRPr="00CB2663">
                <w:rPr>
                  <w:rFonts w:ascii="Aptos Display" w:eastAsiaTheme="minorEastAsia" w:hAnsi="Aptos Display" w:cstheme="minorBidi"/>
                  <w:noProof/>
                  <w:kern w:val="2"/>
                  <w:sz w:val="24"/>
                  <w:szCs w:val="24"/>
                  <w:lang w:val="nl-NL"/>
                  <w14:ligatures w14:val="standardContextual"/>
                </w:rPr>
                <w:tab/>
              </w:r>
              <w:r w:rsidRPr="00CB2663">
                <w:rPr>
                  <w:rStyle w:val="Hyperlink"/>
                  <w:rFonts w:ascii="Aptos Display" w:hAnsi="Aptos Display"/>
                  <w:noProof/>
                </w:rPr>
                <w:t>Verschillen per onderwijssector</w:t>
              </w:r>
              <w:r w:rsidRPr="00CB2663">
                <w:rPr>
                  <w:rFonts w:ascii="Aptos Display" w:hAnsi="Aptos Display"/>
                  <w:noProof/>
                  <w:webHidden/>
                </w:rPr>
                <w:tab/>
              </w:r>
              <w:r w:rsidRPr="00CB2663">
                <w:rPr>
                  <w:rFonts w:ascii="Aptos Display" w:hAnsi="Aptos Display"/>
                  <w:noProof/>
                  <w:webHidden/>
                </w:rPr>
                <w:fldChar w:fldCharType="begin"/>
              </w:r>
              <w:r w:rsidRPr="00CB2663">
                <w:rPr>
                  <w:rFonts w:ascii="Aptos Display" w:hAnsi="Aptos Display"/>
                  <w:noProof/>
                  <w:webHidden/>
                </w:rPr>
                <w:instrText xml:space="preserve"> PAGEREF _Toc229055867 \h </w:instrText>
              </w:r>
              <w:r w:rsidRPr="00CB2663">
                <w:rPr>
                  <w:rFonts w:ascii="Aptos Display" w:hAnsi="Aptos Display"/>
                  <w:noProof/>
                  <w:webHidden/>
                </w:rPr>
              </w:r>
              <w:r w:rsidRPr="00CB2663">
                <w:rPr>
                  <w:rFonts w:ascii="Aptos Display" w:hAnsi="Aptos Display"/>
                  <w:noProof/>
                  <w:webHidden/>
                </w:rPr>
                <w:fldChar w:fldCharType="separate"/>
              </w:r>
              <w:r w:rsidRPr="00CB2663">
                <w:rPr>
                  <w:rFonts w:ascii="Aptos Display" w:hAnsi="Aptos Display"/>
                  <w:noProof/>
                  <w:webHidden/>
                </w:rPr>
                <w:t>3</w:t>
              </w:r>
              <w:r w:rsidRPr="00CB2663">
                <w:rPr>
                  <w:rFonts w:ascii="Aptos Display" w:hAnsi="Aptos Display"/>
                  <w:noProof/>
                  <w:webHidden/>
                </w:rPr>
                <w:fldChar w:fldCharType="end"/>
              </w:r>
            </w:hyperlink>
          </w:p>
          <w:p w14:paraId="57DC49A0" w14:textId="15AB6CFA" w:rsidR="00CB2663" w:rsidRPr="00632F28" w:rsidRDefault="00CB2663" w:rsidP="00CB2663">
            <w:r w:rsidRPr="00CB2663">
              <w:rPr>
                <w:rFonts w:ascii="Aptos Display" w:hAnsi="Aptos Display"/>
                <w:b/>
                <w:bCs/>
                <w:sz w:val="24"/>
                <w:szCs w:val="24"/>
              </w:rPr>
              <w:fldChar w:fldCharType="end"/>
            </w:r>
          </w:p>
        </w:tc>
      </w:tr>
    </w:tbl>
    <w:p w14:paraId="1888D4AD" w14:textId="7FF10B0E" w:rsidR="00781E65" w:rsidRPr="00773194" w:rsidRDefault="00781E65" w:rsidP="00570CDC">
      <w:pPr>
        <w:pStyle w:val="Geenafstand"/>
        <w:rPr>
          <w:sz w:val="24"/>
          <w:szCs w:val="24"/>
        </w:rPr>
      </w:pPr>
    </w:p>
    <w:p w14:paraId="400B5C7E" w14:textId="6219544E" w:rsidR="00C85FA4" w:rsidRPr="00773194" w:rsidRDefault="00C85FA4" w:rsidP="00570CDC">
      <w:pPr>
        <w:pStyle w:val="Kop1"/>
        <w:rPr>
          <w:color w:val="auto"/>
          <w:sz w:val="28"/>
          <w:szCs w:val="28"/>
        </w:rPr>
      </w:pPr>
      <w:bookmarkStart w:id="0" w:name="_Toc229055863"/>
      <w:r w:rsidRPr="00773194">
        <w:rPr>
          <w:color w:val="auto"/>
          <w:sz w:val="28"/>
          <w:szCs w:val="28"/>
        </w:rPr>
        <w:t>Samenvatting</w:t>
      </w:r>
      <w:bookmarkEnd w:id="0"/>
    </w:p>
    <w:p w14:paraId="2A215E27" w14:textId="77777777" w:rsidR="000156BC" w:rsidRPr="00773194" w:rsidRDefault="000156BC" w:rsidP="000156BC">
      <w:pPr>
        <w:pStyle w:val="Geenafstand"/>
        <w:rPr>
          <w:sz w:val="24"/>
          <w:szCs w:val="24"/>
        </w:rPr>
      </w:pPr>
      <w:r w:rsidRPr="00773194">
        <w:rPr>
          <w:sz w:val="24"/>
          <w:szCs w:val="24"/>
        </w:rPr>
        <w:t>Binnen het onderwijs worden verschillende kaders gebruikt om informatiebeveiliging te organiseren en te toetsen, zoals het Normenkader IBP FO, het SURFaudit Toetsingskader Informatiebeveiliging en ISO27001. Deze kaders richten zich primair op de inrichting, sturing en beheersing van informatiebeveiliging binnen organisaties.</w:t>
      </w:r>
    </w:p>
    <w:p w14:paraId="4EAF47DD" w14:textId="77777777" w:rsidR="000156BC" w:rsidRPr="00773194" w:rsidRDefault="000156BC" w:rsidP="000156BC">
      <w:pPr>
        <w:pStyle w:val="Geenafstand"/>
        <w:rPr>
          <w:sz w:val="24"/>
          <w:szCs w:val="24"/>
        </w:rPr>
      </w:pPr>
    </w:p>
    <w:p w14:paraId="5D25BB88" w14:textId="77777777" w:rsidR="000156BC" w:rsidRPr="00773194" w:rsidRDefault="000156BC" w:rsidP="000156BC">
      <w:pPr>
        <w:pStyle w:val="Geenafstand"/>
        <w:rPr>
          <w:sz w:val="24"/>
          <w:szCs w:val="24"/>
        </w:rPr>
      </w:pPr>
      <w:r w:rsidRPr="00773194">
        <w:rPr>
          <w:sz w:val="24"/>
          <w:szCs w:val="24"/>
        </w:rPr>
        <w:t>Het Certificeringsschema IBP ROSA heeft een andere functie. Het schema richt zich op onderwijsapplicaties en maakt concreet welke beveiligingseisen daaraan gesteld kunnen worden. Daarmee vormt het geen alternatief voor bestaande organisatienormenkaders, maar een aanvullende sectorafspraak op applicatieniveau.</w:t>
      </w:r>
    </w:p>
    <w:p w14:paraId="77CEFB13" w14:textId="77777777" w:rsidR="000156BC" w:rsidRPr="00773194" w:rsidRDefault="000156BC" w:rsidP="000156BC">
      <w:pPr>
        <w:pStyle w:val="Geenafstand"/>
        <w:rPr>
          <w:sz w:val="24"/>
          <w:szCs w:val="24"/>
        </w:rPr>
      </w:pPr>
    </w:p>
    <w:p w14:paraId="4491053C" w14:textId="7B6F76BB" w:rsidR="000156BC" w:rsidRDefault="000156BC" w:rsidP="000156BC">
      <w:pPr>
        <w:pStyle w:val="Geenafstand"/>
        <w:rPr>
          <w:sz w:val="24"/>
          <w:szCs w:val="24"/>
        </w:rPr>
      </w:pPr>
      <w:r w:rsidRPr="00773194">
        <w:rPr>
          <w:sz w:val="24"/>
          <w:szCs w:val="24"/>
        </w:rPr>
        <w:t>Deze positionering is van belang omdat onderwijsinstellingen bij het gebruik van digitale diensten afhankelijk zijn van leveranciers. Instellingen moeten kunnen sturen op informatiebeveiliging, terwijl leveranciers op een eenduidige manier moeten kunnen aantonen dat hun applicaties voldoen aan de gestelde eisen. Het Certificeringsschema IBP ROSA biedt daarvoor een gemeenschappelijke taal en een uniforme verantwoordingswijze.</w:t>
      </w:r>
    </w:p>
    <w:p w14:paraId="35089F6E" w14:textId="77777777" w:rsidR="00773194" w:rsidRPr="00773194" w:rsidRDefault="00773194" w:rsidP="000156BC">
      <w:pPr>
        <w:pStyle w:val="Geenafstand"/>
        <w:rPr>
          <w:sz w:val="24"/>
          <w:szCs w:val="24"/>
        </w:rPr>
      </w:pPr>
    </w:p>
    <w:p w14:paraId="2804C737" w14:textId="226C70BD" w:rsidR="00BE50A3" w:rsidRPr="00773194" w:rsidRDefault="00BE50A3" w:rsidP="00773194">
      <w:pPr>
        <w:pStyle w:val="Kop1"/>
        <w:rPr>
          <w:color w:val="auto"/>
          <w:sz w:val="28"/>
          <w:szCs w:val="28"/>
        </w:rPr>
      </w:pPr>
      <w:bookmarkStart w:id="1" w:name="_Toc229055864"/>
      <w:r w:rsidRPr="00773194">
        <w:rPr>
          <w:color w:val="auto"/>
          <w:sz w:val="28"/>
          <w:szCs w:val="28"/>
        </w:rPr>
        <w:t>Aanleiding</w:t>
      </w:r>
      <w:bookmarkEnd w:id="1"/>
    </w:p>
    <w:p w14:paraId="5A5B569B" w14:textId="77777777" w:rsidR="00BE50A3" w:rsidRPr="00773194" w:rsidRDefault="00BE50A3" w:rsidP="00BE50A3">
      <w:pPr>
        <w:pStyle w:val="Geenafstand"/>
        <w:rPr>
          <w:sz w:val="24"/>
          <w:szCs w:val="24"/>
          <w:lang w:val="nl-NL"/>
        </w:rPr>
      </w:pPr>
      <w:r w:rsidRPr="00773194">
        <w:rPr>
          <w:sz w:val="24"/>
          <w:szCs w:val="24"/>
          <w:lang w:val="nl-NL"/>
        </w:rPr>
        <w:t xml:space="preserve">In de onderwijssector bestaan meerdere kaders voor informatiebeveiliging. Voor instellingen zijn onder meer het Normenkader IBP FO en het </w:t>
      </w:r>
      <w:proofErr w:type="spellStart"/>
      <w:r w:rsidRPr="00773194">
        <w:rPr>
          <w:sz w:val="24"/>
          <w:szCs w:val="24"/>
          <w:lang w:val="nl-NL"/>
        </w:rPr>
        <w:t>SURFaudit</w:t>
      </w:r>
      <w:proofErr w:type="spellEnd"/>
      <w:r w:rsidRPr="00773194">
        <w:rPr>
          <w:sz w:val="24"/>
          <w:szCs w:val="24"/>
          <w:lang w:val="nl-NL"/>
        </w:rPr>
        <w:t xml:space="preserve"> Toetsingskader Informatiebeveiliging relevant. Leveranciers hanteren daarnaast vaak ISO27001 of een vergelijkbaar normenkader voor hun eigen organisatie.</w:t>
      </w:r>
    </w:p>
    <w:p w14:paraId="54DA780B" w14:textId="77777777" w:rsidR="00BE50A3" w:rsidRPr="00773194" w:rsidRDefault="00BE50A3" w:rsidP="00BE50A3">
      <w:pPr>
        <w:pStyle w:val="Geenafstand"/>
        <w:rPr>
          <w:sz w:val="24"/>
          <w:szCs w:val="24"/>
          <w:lang w:val="nl-NL"/>
        </w:rPr>
      </w:pPr>
    </w:p>
    <w:p w14:paraId="7D16590A" w14:textId="77777777" w:rsidR="00BE50A3" w:rsidRDefault="00BE50A3" w:rsidP="00BE50A3">
      <w:pPr>
        <w:pStyle w:val="Geenafstand"/>
        <w:rPr>
          <w:sz w:val="24"/>
          <w:szCs w:val="24"/>
          <w:lang w:val="nl-NL"/>
        </w:rPr>
      </w:pPr>
      <w:r w:rsidRPr="00773194">
        <w:rPr>
          <w:sz w:val="24"/>
          <w:szCs w:val="24"/>
          <w:lang w:val="nl-NL"/>
        </w:rPr>
        <w:lastRenderedPageBreak/>
        <w:t>Het bestaan van meerdere kaders kan de indruk wekken dat sprake is van overlap of dubbele eisen. Dat roept vragen op over de onderlinge verhouding tussen deze kaders en over de specifieke rol van het Certificeringsschema IBP ROSA.</w:t>
      </w:r>
    </w:p>
    <w:p w14:paraId="0EBCA41B" w14:textId="77777777" w:rsidR="002F68E1" w:rsidRPr="00773194" w:rsidRDefault="002F68E1" w:rsidP="00BE50A3">
      <w:pPr>
        <w:pStyle w:val="Geenafstand"/>
        <w:rPr>
          <w:sz w:val="24"/>
          <w:szCs w:val="24"/>
          <w:lang w:val="nl-NL"/>
        </w:rPr>
      </w:pPr>
    </w:p>
    <w:p w14:paraId="5D62C194" w14:textId="152E90BB" w:rsidR="00BE50A3" w:rsidRPr="00773194" w:rsidRDefault="00BE50A3" w:rsidP="00BE50A3">
      <w:pPr>
        <w:pStyle w:val="Geenafstand"/>
        <w:rPr>
          <w:sz w:val="24"/>
          <w:szCs w:val="24"/>
          <w:lang w:val="nl-NL"/>
        </w:rPr>
      </w:pPr>
      <w:r w:rsidRPr="00773194">
        <w:rPr>
          <w:sz w:val="24"/>
          <w:szCs w:val="24"/>
          <w:lang w:val="nl-NL"/>
        </w:rPr>
        <w:t xml:space="preserve">De kern van het vraagstuk is dat de genoemde kaders verschillende </w:t>
      </w:r>
      <w:r w:rsidR="00567608">
        <w:rPr>
          <w:sz w:val="24"/>
          <w:szCs w:val="24"/>
          <w:lang w:val="nl-NL"/>
        </w:rPr>
        <w:t>rollen</w:t>
      </w:r>
      <w:r w:rsidRPr="00773194">
        <w:rPr>
          <w:sz w:val="24"/>
          <w:szCs w:val="24"/>
          <w:lang w:val="nl-NL"/>
        </w:rPr>
        <w:t xml:space="preserve"> hebben. </w:t>
      </w:r>
      <w:r w:rsidR="005051BE" w:rsidRPr="005051BE">
        <w:rPr>
          <w:sz w:val="24"/>
          <w:szCs w:val="24"/>
        </w:rPr>
        <w:t xml:space="preserve">Organisatienormenkaders richten zich op de inrichting van informatiebeveiliging binnen organisaties. </w:t>
      </w:r>
      <w:r w:rsidRPr="00773194">
        <w:rPr>
          <w:sz w:val="24"/>
          <w:szCs w:val="24"/>
          <w:lang w:val="nl-NL"/>
        </w:rPr>
        <w:t>Het Certificeringsschema IBP ROSA vertaalt deze verantwoordelijkheid naar concrete, toetsbare eisen aan onderwijsapplicaties.</w:t>
      </w:r>
    </w:p>
    <w:p w14:paraId="4E0B02E8" w14:textId="77777777" w:rsidR="00773194" w:rsidRPr="00773194" w:rsidRDefault="00773194" w:rsidP="00BE50A3">
      <w:pPr>
        <w:pStyle w:val="Geenafstand"/>
        <w:rPr>
          <w:sz w:val="24"/>
          <w:szCs w:val="24"/>
          <w:lang w:val="nl-NL"/>
        </w:rPr>
      </w:pPr>
    </w:p>
    <w:p w14:paraId="648F18BC" w14:textId="36B67278" w:rsidR="00BE50A3" w:rsidRDefault="00BE50A3" w:rsidP="00BE50A3">
      <w:pPr>
        <w:pStyle w:val="Geenafstand"/>
        <w:rPr>
          <w:sz w:val="24"/>
          <w:szCs w:val="24"/>
          <w:lang w:val="nl-NL"/>
        </w:rPr>
      </w:pPr>
      <w:r w:rsidRPr="00773194">
        <w:rPr>
          <w:sz w:val="24"/>
          <w:szCs w:val="24"/>
          <w:lang w:val="nl-NL"/>
        </w:rPr>
        <w:t>Dit memo duidt deze verhouding en beschrijft waarom het wenselijk is om het Certificeringsschema IBP ROSA te positioneren en te borgen als sectorafspraak voor applicatiegerichte informatiebeveiliging.</w:t>
      </w:r>
    </w:p>
    <w:p w14:paraId="6AB76260" w14:textId="77777777" w:rsidR="00773194" w:rsidRDefault="00773194" w:rsidP="00BE50A3">
      <w:pPr>
        <w:pStyle w:val="Geenafstand"/>
        <w:rPr>
          <w:sz w:val="24"/>
          <w:szCs w:val="24"/>
          <w:lang w:val="nl-NL"/>
        </w:rPr>
      </w:pPr>
    </w:p>
    <w:p w14:paraId="60B4E373" w14:textId="0CF7F760" w:rsidR="00BE50A3" w:rsidRPr="00773194" w:rsidRDefault="00BE50A3" w:rsidP="00773194">
      <w:pPr>
        <w:pStyle w:val="Kop1"/>
        <w:rPr>
          <w:color w:val="auto"/>
          <w:sz w:val="28"/>
          <w:szCs w:val="28"/>
        </w:rPr>
      </w:pPr>
      <w:bookmarkStart w:id="2" w:name="_Toc229055865"/>
      <w:r w:rsidRPr="00773194">
        <w:rPr>
          <w:color w:val="auto"/>
          <w:sz w:val="28"/>
          <w:szCs w:val="28"/>
        </w:rPr>
        <w:t>Positionering ten opzichte van andere beveiligingskaders</w:t>
      </w:r>
      <w:bookmarkEnd w:id="2"/>
    </w:p>
    <w:p w14:paraId="168695FC" w14:textId="77777777" w:rsidR="00BE50A3" w:rsidRPr="00773194" w:rsidRDefault="00BE50A3" w:rsidP="00BE50A3">
      <w:pPr>
        <w:pStyle w:val="Geenafstand"/>
        <w:rPr>
          <w:sz w:val="24"/>
          <w:szCs w:val="24"/>
          <w:lang w:val="nl-NL"/>
        </w:rPr>
      </w:pPr>
      <w:r w:rsidRPr="00773194">
        <w:rPr>
          <w:sz w:val="24"/>
          <w:szCs w:val="24"/>
          <w:lang w:val="nl-NL"/>
        </w:rPr>
        <w:t xml:space="preserve">Het Certificeringsschema IBP ROSA moet worden gezien als een sectorale invulling van beveiligingseisen voor onderwijsapplicaties. Het schema vervangt geen bestaande kaders zoals het Normenkader IBP FO, het </w:t>
      </w:r>
      <w:proofErr w:type="spellStart"/>
      <w:r w:rsidRPr="00773194">
        <w:rPr>
          <w:sz w:val="24"/>
          <w:szCs w:val="24"/>
          <w:lang w:val="nl-NL"/>
        </w:rPr>
        <w:t>SURFaudit</w:t>
      </w:r>
      <w:proofErr w:type="spellEnd"/>
      <w:r w:rsidRPr="00773194">
        <w:rPr>
          <w:sz w:val="24"/>
          <w:szCs w:val="24"/>
          <w:lang w:val="nl-NL"/>
        </w:rPr>
        <w:t xml:space="preserve"> Toetsingskader of ISO27001.</w:t>
      </w:r>
    </w:p>
    <w:p w14:paraId="4434AAE8" w14:textId="77777777" w:rsidR="00BE50A3" w:rsidRPr="00773194" w:rsidRDefault="00BE50A3" w:rsidP="00BE50A3">
      <w:pPr>
        <w:pStyle w:val="Geenafstand"/>
        <w:rPr>
          <w:sz w:val="24"/>
          <w:szCs w:val="24"/>
          <w:lang w:val="nl-NL"/>
        </w:rPr>
      </w:pPr>
      <w:r w:rsidRPr="00773194">
        <w:rPr>
          <w:sz w:val="24"/>
          <w:szCs w:val="24"/>
          <w:lang w:val="nl-NL"/>
        </w:rPr>
        <w:t>De verhouding kan als volgt worden samengevat:</w:t>
      </w:r>
    </w:p>
    <w:p w14:paraId="739CBBA9" w14:textId="77777777" w:rsidR="00773194" w:rsidRPr="00773194" w:rsidRDefault="00773194" w:rsidP="00BE50A3">
      <w:pPr>
        <w:pStyle w:val="Geenafstand"/>
        <w:rPr>
          <w:sz w:val="24"/>
          <w:szCs w:val="24"/>
          <w:lang w:val="nl-NL"/>
        </w:rPr>
      </w:pPr>
    </w:p>
    <w:p w14:paraId="00ECC0B2" w14:textId="0F742FDA" w:rsidR="007433B7" w:rsidRPr="007433B7" w:rsidRDefault="007433B7">
      <w:pPr>
        <w:pStyle w:val="Geenafstand"/>
        <w:numPr>
          <w:ilvl w:val="0"/>
          <w:numId w:val="3"/>
        </w:numPr>
        <w:rPr>
          <w:sz w:val="24"/>
          <w:szCs w:val="24"/>
          <w:lang w:val="nl-NL"/>
        </w:rPr>
      </w:pPr>
      <w:r w:rsidRPr="007433B7">
        <w:rPr>
          <w:sz w:val="24"/>
          <w:szCs w:val="24"/>
          <w:lang w:val="nl-NL"/>
        </w:rPr>
        <w:t xml:space="preserve">Organisatienormenkaders ondersteunen de inrichting en beheersing van informatiebeveiliging binnen organisaties; </w:t>
      </w:r>
    </w:p>
    <w:p w14:paraId="214D606A" w14:textId="309B83FE" w:rsidR="007433B7" w:rsidRDefault="007433B7">
      <w:pPr>
        <w:pStyle w:val="Geenafstand"/>
        <w:numPr>
          <w:ilvl w:val="0"/>
          <w:numId w:val="3"/>
        </w:numPr>
        <w:rPr>
          <w:sz w:val="24"/>
          <w:szCs w:val="24"/>
          <w:lang w:val="nl-NL"/>
        </w:rPr>
      </w:pPr>
      <w:r w:rsidRPr="007433B7">
        <w:rPr>
          <w:sz w:val="24"/>
          <w:szCs w:val="24"/>
          <w:lang w:val="nl-NL"/>
        </w:rPr>
        <w:t>Het Certificeringsschema IBP ROSA concretiseert beveiligingseisen voor onderwijsapplicaties;</w:t>
      </w:r>
    </w:p>
    <w:p w14:paraId="1282D696" w14:textId="7CF6C0BF" w:rsidR="00BE50A3" w:rsidRPr="00796545" w:rsidRDefault="00796545">
      <w:pPr>
        <w:pStyle w:val="Geenafstand"/>
        <w:numPr>
          <w:ilvl w:val="0"/>
          <w:numId w:val="3"/>
        </w:numPr>
        <w:rPr>
          <w:sz w:val="24"/>
          <w:szCs w:val="24"/>
          <w:lang w:val="nl-NL"/>
        </w:rPr>
      </w:pPr>
      <w:r w:rsidRPr="007433B7">
        <w:rPr>
          <w:sz w:val="24"/>
          <w:szCs w:val="24"/>
          <w:lang w:val="nl-NL"/>
        </w:rPr>
        <w:t>De auditverklaring biedt een uniforme manier om naleving van die applicatiegerichte eisen aantoonbaar te maken.</w:t>
      </w:r>
    </w:p>
    <w:p w14:paraId="72A4B4E5" w14:textId="77777777" w:rsidR="00796545" w:rsidRPr="00773194" w:rsidRDefault="00796545" w:rsidP="00BE50A3">
      <w:pPr>
        <w:pStyle w:val="Geenafstand"/>
        <w:rPr>
          <w:sz w:val="24"/>
          <w:szCs w:val="24"/>
          <w:lang w:val="nl-NL"/>
        </w:rPr>
      </w:pPr>
    </w:p>
    <w:p w14:paraId="406EF6FC" w14:textId="4A9A34ED" w:rsidR="00BE50A3" w:rsidRPr="00773194" w:rsidRDefault="00BE50A3" w:rsidP="00BE50A3">
      <w:pPr>
        <w:pStyle w:val="Geenafstand"/>
        <w:rPr>
          <w:sz w:val="24"/>
          <w:szCs w:val="24"/>
          <w:lang w:val="nl-NL"/>
        </w:rPr>
      </w:pPr>
      <w:r w:rsidRPr="00773194">
        <w:rPr>
          <w:sz w:val="24"/>
          <w:szCs w:val="24"/>
          <w:lang w:val="nl-NL"/>
        </w:rPr>
        <w:t>Daarmee ontstaat een onderscheid tussen organisatieniveau en applicatieniveau. Op organisatieniveau kunnen instellingen en leveranciers verschillende kaders hanteren</w:t>
      </w:r>
      <w:r w:rsidR="00D93F00">
        <w:rPr>
          <w:sz w:val="24"/>
          <w:szCs w:val="24"/>
          <w:lang w:val="nl-NL"/>
        </w:rPr>
        <w:t xml:space="preserve">, </w:t>
      </w:r>
      <w:r w:rsidR="00D93F00" w:rsidRPr="00D93F00">
        <w:rPr>
          <w:sz w:val="24"/>
          <w:szCs w:val="24"/>
        </w:rPr>
        <w:t xml:space="preserve">ook bij toekomstige </w:t>
      </w:r>
      <w:r w:rsidR="00946E96">
        <w:rPr>
          <w:sz w:val="24"/>
          <w:szCs w:val="24"/>
        </w:rPr>
        <w:t>eisen</w:t>
      </w:r>
      <w:r w:rsidR="00D93F00" w:rsidRPr="00D93F00">
        <w:rPr>
          <w:sz w:val="24"/>
          <w:szCs w:val="24"/>
        </w:rPr>
        <w:t xml:space="preserve"> zoals vanuit NIS2</w:t>
      </w:r>
      <w:r w:rsidRPr="00773194">
        <w:rPr>
          <w:sz w:val="24"/>
          <w:szCs w:val="24"/>
          <w:lang w:val="nl-NL"/>
        </w:rPr>
        <w:t xml:space="preserve">. Op applicatieniveau is juist uniformiteit wenselijk, omdat onderwijsapplicaties vaak </w:t>
      </w:r>
      <w:proofErr w:type="spellStart"/>
      <w:r w:rsidRPr="00773194">
        <w:rPr>
          <w:sz w:val="24"/>
          <w:szCs w:val="24"/>
          <w:lang w:val="nl-NL"/>
        </w:rPr>
        <w:t>sectoroverstijgend</w:t>
      </w:r>
      <w:proofErr w:type="spellEnd"/>
      <w:r w:rsidRPr="00773194">
        <w:rPr>
          <w:sz w:val="24"/>
          <w:szCs w:val="24"/>
          <w:lang w:val="nl-NL"/>
        </w:rPr>
        <w:t xml:space="preserve"> worden gebruikt en </w:t>
      </w:r>
      <w:r w:rsidR="002E7AFB" w:rsidRPr="002E7AFB">
        <w:rPr>
          <w:sz w:val="24"/>
          <w:szCs w:val="24"/>
        </w:rPr>
        <w:t>afwijkende eisen per sector of instelling leiden tot interpretatieverschillen en extra verantwoordingslast.</w:t>
      </w:r>
    </w:p>
    <w:p w14:paraId="2965DA92" w14:textId="77777777" w:rsidR="00773194" w:rsidRPr="00773194" w:rsidRDefault="00773194" w:rsidP="00BE50A3">
      <w:pPr>
        <w:pStyle w:val="Geenafstand"/>
        <w:rPr>
          <w:sz w:val="24"/>
          <w:szCs w:val="24"/>
          <w:lang w:val="nl-NL"/>
        </w:rPr>
      </w:pPr>
    </w:p>
    <w:p w14:paraId="0998B886" w14:textId="5D31F935" w:rsidR="00BE50A3" w:rsidRDefault="00BE50A3" w:rsidP="00BE50A3">
      <w:pPr>
        <w:pStyle w:val="Geenafstand"/>
        <w:rPr>
          <w:sz w:val="24"/>
          <w:szCs w:val="24"/>
          <w:lang w:val="nl-NL"/>
        </w:rPr>
      </w:pPr>
      <w:r w:rsidRPr="00773194">
        <w:rPr>
          <w:sz w:val="24"/>
          <w:szCs w:val="24"/>
          <w:lang w:val="nl-NL"/>
        </w:rPr>
        <w:t xml:space="preserve">Het Certificeringsschema IBP ROSA biedt in dat opzicht een brug tussen onderwijsinstellingen en leveranciers. Een onderwijsinstelling kan sturen vanuit bijvoorbeeld het Normenkader IBP FO of </w:t>
      </w:r>
      <w:proofErr w:type="spellStart"/>
      <w:r w:rsidRPr="00773194">
        <w:rPr>
          <w:sz w:val="24"/>
          <w:szCs w:val="24"/>
          <w:lang w:val="nl-NL"/>
        </w:rPr>
        <w:t>SURFaudit</w:t>
      </w:r>
      <w:proofErr w:type="spellEnd"/>
      <w:r w:rsidRPr="00773194">
        <w:rPr>
          <w:sz w:val="24"/>
          <w:szCs w:val="24"/>
          <w:lang w:val="nl-NL"/>
        </w:rPr>
        <w:t>, terwijl een leverancier zijn interne informatiebeveiliging kan organiseren op basis van ISO27001. Het Certificeringsschema biedt vervolgens de gedeelde taal voor de eisen aan de applicatie zelf.</w:t>
      </w:r>
    </w:p>
    <w:p w14:paraId="4F8EA188" w14:textId="77777777" w:rsidR="00773194" w:rsidRPr="00773194" w:rsidRDefault="00773194" w:rsidP="00BE50A3">
      <w:pPr>
        <w:pStyle w:val="Geenafstand"/>
        <w:rPr>
          <w:sz w:val="24"/>
          <w:szCs w:val="24"/>
          <w:lang w:val="nl-NL"/>
        </w:rPr>
      </w:pPr>
    </w:p>
    <w:p w14:paraId="42EBA540" w14:textId="470822F2" w:rsidR="00BE50A3" w:rsidRPr="00773194" w:rsidRDefault="00BE50A3" w:rsidP="00773194">
      <w:pPr>
        <w:pStyle w:val="Kop1"/>
        <w:rPr>
          <w:color w:val="auto"/>
          <w:sz w:val="28"/>
          <w:szCs w:val="28"/>
        </w:rPr>
      </w:pPr>
      <w:bookmarkStart w:id="3" w:name="_Toc229055866"/>
      <w:r w:rsidRPr="00773194">
        <w:rPr>
          <w:color w:val="auto"/>
          <w:sz w:val="28"/>
          <w:szCs w:val="28"/>
        </w:rPr>
        <w:t>Toepassing in de praktijk</w:t>
      </w:r>
      <w:bookmarkEnd w:id="3"/>
    </w:p>
    <w:p w14:paraId="652F6768" w14:textId="77777777" w:rsidR="00BE50A3" w:rsidRPr="00773194" w:rsidRDefault="00BE50A3" w:rsidP="00BE50A3">
      <w:pPr>
        <w:pStyle w:val="Geenafstand"/>
        <w:rPr>
          <w:sz w:val="24"/>
          <w:szCs w:val="24"/>
          <w:lang w:val="nl-NL"/>
        </w:rPr>
      </w:pPr>
      <w:r w:rsidRPr="00773194">
        <w:rPr>
          <w:sz w:val="24"/>
          <w:szCs w:val="24"/>
          <w:lang w:val="nl-NL"/>
        </w:rPr>
        <w:t>Het Certificeringsschema IBP ROSA ondersteunt onderwijsinstellingen bij het stellen en toetsen van beveiligingseisen aan applicaties. Het helpt onder meer bij:</w:t>
      </w:r>
    </w:p>
    <w:p w14:paraId="7367128B" w14:textId="77777777" w:rsidR="00773194" w:rsidRPr="00773194" w:rsidRDefault="00773194" w:rsidP="00BE50A3">
      <w:pPr>
        <w:pStyle w:val="Geenafstand"/>
        <w:rPr>
          <w:sz w:val="24"/>
          <w:szCs w:val="24"/>
          <w:lang w:val="nl-NL"/>
        </w:rPr>
      </w:pPr>
    </w:p>
    <w:p w14:paraId="669EF4D8" w14:textId="22F0E414" w:rsidR="00BE50A3" w:rsidRPr="00773194" w:rsidRDefault="002F68E1">
      <w:pPr>
        <w:pStyle w:val="Geenafstand"/>
        <w:numPr>
          <w:ilvl w:val="0"/>
          <w:numId w:val="2"/>
        </w:numPr>
        <w:rPr>
          <w:sz w:val="24"/>
          <w:szCs w:val="24"/>
          <w:lang w:val="nl-NL"/>
        </w:rPr>
      </w:pPr>
      <w:r>
        <w:rPr>
          <w:sz w:val="24"/>
          <w:szCs w:val="24"/>
          <w:lang w:val="nl-NL"/>
        </w:rPr>
        <w:t>H</w:t>
      </w:r>
      <w:r w:rsidR="00BE50A3" w:rsidRPr="00773194">
        <w:rPr>
          <w:sz w:val="24"/>
          <w:szCs w:val="24"/>
          <w:lang w:val="nl-NL"/>
        </w:rPr>
        <w:t xml:space="preserve">et concretiseren van beveiligingseisen voor onderwijsapplicaties; </w:t>
      </w:r>
    </w:p>
    <w:p w14:paraId="7B23EA2B" w14:textId="28ABAE18" w:rsidR="00BE50A3" w:rsidRPr="00773194" w:rsidRDefault="002F68E1">
      <w:pPr>
        <w:pStyle w:val="Geenafstand"/>
        <w:numPr>
          <w:ilvl w:val="0"/>
          <w:numId w:val="2"/>
        </w:numPr>
        <w:rPr>
          <w:sz w:val="24"/>
          <w:szCs w:val="24"/>
          <w:lang w:val="nl-NL"/>
        </w:rPr>
      </w:pPr>
      <w:r>
        <w:rPr>
          <w:sz w:val="24"/>
          <w:szCs w:val="24"/>
          <w:lang w:val="nl-NL"/>
        </w:rPr>
        <w:t>H</w:t>
      </w:r>
      <w:r w:rsidR="00BE50A3" w:rsidRPr="00773194">
        <w:rPr>
          <w:sz w:val="24"/>
          <w:szCs w:val="24"/>
          <w:lang w:val="nl-NL"/>
        </w:rPr>
        <w:t xml:space="preserve">et toetsen van naleving door leveranciers; </w:t>
      </w:r>
    </w:p>
    <w:p w14:paraId="2BDB5C73" w14:textId="5C91FDF0" w:rsidR="00BE50A3" w:rsidRPr="00773194" w:rsidRDefault="002F68E1">
      <w:pPr>
        <w:pStyle w:val="Geenafstand"/>
        <w:numPr>
          <w:ilvl w:val="0"/>
          <w:numId w:val="2"/>
        </w:numPr>
        <w:rPr>
          <w:sz w:val="24"/>
          <w:szCs w:val="24"/>
          <w:lang w:val="nl-NL"/>
        </w:rPr>
      </w:pPr>
      <w:r>
        <w:rPr>
          <w:sz w:val="24"/>
          <w:szCs w:val="24"/>
          <w:lang w:val="nl-NL"/>
        </w:rPr>
        <w:t>H</w:t>
      </w:r>
      <w:r w:rsidR="00BE50A3" w:rsidRPr="00773194">
        <w:rPr>
          <w:sz w:val="24"/>
          <w:szCs w:val="24"/>
          <w:lang w:val="nl-NL"/>
        </w:rPr>
        <w:t xml:space="preserve">et uitvoeren van leveranciersmanagement; </w:t>
      </w:r>
    </w:p>
    <w:p w14:paraId="19765FC0" w14:textId="74D3A93A" w:rsidR="00BE50A3" w:rsidRPr="00773194" w:rsidRDefault="002F68E1">
      <w:pPr>
        <w:pStyle w:val="Geenafstand"/>
        <w:numPr>
          <w:ilvl w:val="0"/>
          <w:numId w:val="2"/>
        </w:numPr>
        <w:rPr>
          <w:sz w:val="24"/>
          <w:szCs w:val="24"/>
          <w:lang w:val="nl-NL"/>
        </w:rPr>
      </w:pPr>
      <w:r>
        <w:rPr>
          <w:sz w:val="24"/>
          <w:szCs w:val="24"/>
          <w:lang w:val="nl-NL"/>
        </w:rPr>
        <w:t>H</w:t>
      </w:r>
      <w:r w:rsidR="00BE50A3" w:rsidRPr="00773194">
        <w:rPr>
          <w:sz w:val="24"/>
          <w:szCs w:val="24"/>
          <w:lang w:val="nl-NL"/>
        </w:rPr>
        <w:t xml:space="preserve">et hergebruiken van een uniforme verantwoordingswijze. </w:t>
      </w:r>
    </w:p>
    <w:p w14:paraId="693C53E1" w14:textId="77777777" w:rsidR="00773194" w:rsidRDefault="00773194" w:rsidP="00BE50A3">
      <w:pPr>
        <w:pStyle w:val="Geenafstand"/>
        <w:rPr>
          <w:sz w:val="24"/>
          <w:szCs w:val="24"/>
          <w:lang w:val="nl-NL"/>
        </w:rPr>
      </w:pPr>
    </w:p>
    <w:p w14:paraId="6D441686" w14:textId="6546D3E8" w:rsidR="00BE50A3" w:rsidRPr="00773194" w:rsidRDefault="00BE50A3" w:rsidP="00BE50A3">
      <w:pPr>
        <w:pStyle w:val="Geenafstand"/>
        <w:rPr>
          <w:sz w:val="24"/>
          <w:szCs w:val="24"/>
          <w:lang w:val="nl-NL"/>
        </w:rPr>
      </w:pPr>
      <w:r w:rsidRPr="00773194">
        <w:rPr>
          <w:sz w:val="24"/>
          <w:szCs w:val="24"/>
          <w:lang w:val="nl-NL"/>
        </w:rPr>
        <w:t>Voor leveranciers biedt het schema eveneens duidelijkheid. Zij hoeven niet voor iedere instelling, sector of afspraak afzonderlijk beveiligingseisen te interpreteren. Via het Certificeringsschema kunnen zij op een eenduidige manier aantonen dat hun applicatie voldoet aan de eisen die binnen de onderwijssector worden gesteld.</w:t>
      </w:r>
    </w:p>
    <w:p w14:paraId="7E5746F4" w14:textId="77777777" w:rsidR="00773194" w:rsidRPr="00773194" w:rsidRDefault="00773194" w:rsidP="00BE50A3">
      <w:pPr>
        <w:pStyle w:val="Geenafstand"/>
        <w:rPr>
          <w:sz w:val="24"/>
          <w:szCs w:val="24"/>
          <w:lang w:val="nl-NL"/>
        </w:rPr>
      </w:pPr>
    </w:p>
    <w:p w14:paraId="68210159" w14:textId="77777777" w:rsidR="00BE50A3" w:rsidRDefault="00BE50A3" w:rsidP="00BE50A3">
      <w:pPr>
        <w:pStyle w:val="Geenafstand"/>
        <w:rPr>
          <w:sz w:val="24"/>
          <w:szCs w:val="24"/>
          <w:lang w:val="nl-NL"/>
        </w:rPr>
      </w:pPr>
      <w:r w:rsidRPr="00773194">
        <w:rPr>
          <w:sz w:val="24"/>
          <w:szCs w:val="24"/>
          <w:lang w:val="nl-NL"/>
        </w:rPr>
        <w:t xml:space="preserve">Dit is ook relevant voor afsprakenstelsels en modelovereenkomsten. Stelsels zoals </w:t>
      </w:r>
      <w:proofErr w:type="spellStart"/>
      <w:r w:rsidRPr="00773194">
        <w:rPr>
          <w:sz w:val="24"/>
          <w:szCs w:val="24"/>
          <w:lang w:val="nl-NL"/>
        </w:rPr>
        <w:t>Edu</w:t>
      </w:r>
      <w:proofErr w:type="spellEnd"/>
      <w:r w:rsidRPr="00773194">
        <w:rPr>
          <w:sz w:val="24"/>
          <w:szCs w:val="24"/>
          <w:lang w:val="nl-NL"/>
        </w:rPr>
        <w:t xml:space="preserve">-V en afspraken rond gegevensuitwisseling, zoals </w:t>
      </w:r>
      <w:proofErr w:type="spellStart"/>
      <w:r w:rsidRPr="00773194">
        <w:rPr>
          <w:sz w:val="24"/>
          <w:szCs w:val="24"/>
          <w:lang w:val="nl-NL"/>
        </w:rPr>
        <w:t>Edukoppeling</w:t>
      </w:r>
      <w:proofErr w:type="spellEnd"/>
      <w:r w:rsidRPr="00773194">
        <w:rPr>
          <w:sz w:val="24"/>
          <w:szCs w:val="24"/>
          <w:lang w:val="nl-NL"/>
        </w:rPr>
        <w:t xml:space="preserve">, kunnen naar het Certificeringsschema verwijzen in plaats van eigen beveiligingseisen te ontwikkelen. Ook modelverwerkersovereenkomsten, zoals binnen het </w:t>
      </w:r>
      <w:proofErr w:type="spellStart"/>
      <w:r w:rsidRPr="00773194">
        <w:rPr>
          <w:sz w:val="24"/>
          <w:szCs w:val="24"/>
          <w:lang w:val="nl-NL"/>
        </w:rPr>
        <w:t>Privacyconvenant</w:t>
      </w:r>
      <w:proofErr w:type="spellEnd"/>
      <w:r w:rsidRPr="00773194">
        <w:rPr>
          <w:sz w:val="24"/>
          <w:szCs w:val="24"/>
          <w:lang w:val="nl-NL"/>
        </w:rPr>
        <w:t>, kunnen hierbij aansluiten.</w:t>
      </w:r>
    </w:p>
    <w:p w14:paraId="147EFDFA" w14:textId="77777777" w:rsidR="00F95DA1" w:rsidRPr="00773194" w:rsidRDefault="00F95DA1" w:rsidP="00BE50A3">
      <w:pPr>
        <w:pStyle w:val="Geenafstand"/>
        <w:rPr>
          <w:sz w:val="24"/>
          <w:szCs w:val="24"/>
          <w:lang w:val="nl-NL"/>
        </w:rPr>
      </w:pPr>
    </w:p>
    <w:p w14:paraId="37014FC7" w14:textId="2FD7D1D6" w:rsidR="00BE50A3" w:rsidRDefault="00BE50A3" w:rsidP="00BE50A3">
      <w:pPr>
        <w:pStyle w:val="Geenafstand"/>
        <w:rPr>
          <w:sz w:val="24"/>
          <w:szCs w:val="24"/>
          <w:lang w:val="nl-NL"/>
        </w:rPr>
      </w:pPr>
      <w:r w:rsidRPr="00773194">
        <w:rPr>
          <w:sz w:val="24"/>
          <w:szCs w:val="24"/>
          <w:lang w:val="nl-NL"/>
        </w:rPr>
        <w:t>Daarmee voorkomt het Certificeringsschema versnippering en dubbele verantwoordingslast. Het biedt een gedeelde basis voor applicatiegerichte beveiligingseisen binnen de onderwijssector, terwijl instellingen en leveranciers op organisatieniveau ruimte houden om een eigen passend normenkader te hanteren.</w:t>
      </w:r>
    </w:p>
    <w:p w14:paraId="729E4827" w14:textId="77777777" w:rsidR="00773194" w:rsidRPr="00773194" w:rsidRDefault="00773194" w:rsidP="00BE50A3">
      <w:pPr>
        <w:pStyle w:val="Geenafstand"/>
        <w:rPr>
          <w:sz w:val="24"/>
          <w:szCs w:val="24"/>
          <w:lang w:val="nl-NL"/>
        </w:rPr>
      </w:pPr>
    </w:p>
    <w:p w14:paraId="485E4475" w14:textId="1349BB96" w:rsidR="00BE50A3" w:rsidRPr="00773194" w:rsidRDefault="00BE50A3" w:rsidP="00773194">
      <w:pPr>
        <w:pStyle w:val="Kop1"/>
        <w:rPr>
          <w:color w:val="auto"/>
          <w:sz w:val="28"/>
          <w:szCs w:val="28"/>
        </w:rPr>
      </w:pPr>
      <w:bookmarkStart w:id="4" w:name="_Toc229055867"/>
      <w:r w:rsidRPr="00773194">
        <w:rPr>
          <w:color w:val="auto"/>
          <w:sz w:val="28"/>
          <w:szCs w:val="28"/>
        </w:rPr>
        <w:t>Verschillen per onderwijssector</w:t>
      </w:r>
      <w:bookmarkEnd w:id="4"/>
    </w:p>
    <w:p w14:paraId="63751B10" w14:textId="77777777" w:rsidR="00BE50A3" w:rsidRPr="00773194" w:rsidRDefault="00BE50A3" w:rsidP="00BE50A3">
      <w:pPr>
        <w:pStyle w:val="Geenafstand"/>
        <w:rPr>
          <w:sz w:val="24"/>
          <w:szCs w:val="24"/>
          <w:lang w:val="nl-NL"/>
        </w:rPr>
      </w:pPr>
      <w:r w:rsidRPr="00773194">
        <w:rPr>
          <w:sz w:val="24"/>
          <w:szCs w:val="24"/>
          <w:lang w:val="nl-NL"/>
        </w:rPr>
        <w:t>De onderwijssectoren werken met verschillende kaders en praktijken voor informatiebeveiliging. De verschillen zitten vooral op organisatieniveau. Voor applicaties is uniformiteit wenselijk.</w:t>
      </w:r>
    </w:p>
    <w:p w14:paraId="33944CB3" w14:textId="77777777" w:rsidR="00773194" w:rsidRPr="00773194" w:rsidRDefault="00773194" w:rsidP="00BE50A3">
      <w:pPr>
        <w:pStyle w:val="Geenafstand"/>
        <w:rPr>
          <w:sz w:val="24"/>
          <w:szCs w:val="24"/>
          <w:lang w:val="nl-NL"/>
        </w:rPr>
      </w:pPr>
    </w:p>
    <w:p w14:paraId="1E9C177F" w14:textId="77777777" w:rsidR="00BE50A3" w:rsidRPr="00773194" w:rsidRDefault="00BE50A3" w:rsidP="00BE50A3">
      <w:pPr>
        <w:pStyle w:val="Geenafstand"/>
        <w:rPr>
          <w:sz w:val="24"/>
          <w:szCs w:val="24"/>
          <w:lang w:val="nl-NL"/>
        </w:rPr>
      </w:pPr>
      <w:r w:rsidRPr="00773194">
        <w:rPr>
          <w:sz w:val="24"/>
          <w:szCs w:val="24"/>
          <w:lang w:val="nl-NL"/>
        </w:rPr>
        <w:t xml:space="preserve">In het funderend onderwijs wordt gewerkt met het Normenkader IBP FO. Dit normenkader bevat een expliciete relatie met het Certificeringsschema IBP ROSA. Op applicatieniveau kan het Certificeringsschema worden gebruikt om beveiligingseisen concreet en toetsbaar te maken. Daarnaast wordt het Certificeringsschema gebruikt of betrokken bij afsprakenstelsels en modelafspraken, zoals </w:t>
      </w:r>
      <w:proofErr w:type="spellStart"/>
      <w:r w:rsidRPr="00773194">
        <w:rPr>
          <w:sz w:val="24"/>
          <w:szCs w:val="24"/>
          <w:lang w:val="nl-NL"/>
        </w:rPr>
        <w:t>Edu</w:t>
      </w:r>
      <w:proofErr w:type="spellEnd"/>
      <w:r w:rsidRPr="00773194">
        <w:rPr>
          <w:sz w:val="24"/>
          <w:szCs w:val="24"/>
          <w:lang w:val="nl-NL"/>
        </w:rPr>
        <w:t xml:space="preserve">-V, </w:t>
      </w:r>
      <w:proofErr w:type="spellStart"/>
      <w:r w:rsidRPr="00773194">
        <w:rPr>
          <w:sz w:val="24"/>
          <w:szCs w:val="24"/>
          <w:lang w:val="nl-NL"/>
        </w:rPr>
        <w:t>Edukoppeling</w:t>
      </w:r>
      <w:proofErr w:type="spellEnd"/>
      <w:r w:rsidRPr="00773194">
        <w:rPr>
          <w:sz w:val="24"/>
          <w:szCs w:val="24"/>
          <w:lang w:val="nl-NL"/>
        </w:rPr>
        <w:t xml:space="preserve"> en het </w:t>
      </w:r>
      <w:proofErr w:type="spellStart"/>
      <w:r w:rsidRPr="00773194">
        <w:rPr>
          <w:sz w:val="24"/>
          <w:szCs w:val="24"/>
          <w:lang w:val="nl-NL"/>
        </w:rPr>
        <w:t>Privacyconvenant</w:t>
      </w:r>
      <w:proofErr w:type="spellEnd"/>
      <w:r w:rsidRPr="00773194">
        <w:rPr>
          <w:sz w:val="24"/>
          <w:szCs w:val="24"/>
          <w:lang w:val="nl-NL"/>
        </w:rPr>
        <w:t>.</w:t>
      </w:r>
    </w:p>
    <w:p w14:paraId="0C85B47F" w14:textId="77777777" w:rsidR="00773194" w:rsidRPr="00773194" w:rsidRDefault="00773194" w:rsidP="00BE50A3">
      <w:pPr>
        <w:pStyle w:val="Geenafstand"/>
        <w:rPr>
          <w:sz w:val="24"/>
          <w:szCs w:val="24"/>
          <w:lang w:val="nl-NL"/>
        </w:rPr>
      </w:pPr>
    </w:p>
    <w:p w14:paraId="653E1F14" w14:textId="77777777" w:rsidR="00BE50A3" w:rsidRPr="00773194" w:rsidRDefault="00BE50A3" w:rsidP="00BE50A3">
      <w:pPr>
        <w:pStyle w:val="Geenafstand"/>
        <w:rPr>
          <w:sz w:val="24"/>
          <w:szCs w:val="24"/>
          <w:lang w:val="nl-NL"/>
        </w:rPr>
      </w:pPr>
      <w:r w:rsidRPr="00773194">
        <w:rPr>
          <w:sz w:val="24"/>
          <w:szCs w:val="24"/>
          <w:lang w:val="nl-NL"/>
        </w:rPr>
        <w:t xml:space="preserve">In het mbo wordt op organisatieniveau gewerkt met het </w:t>
      </w:r>
      <w:proofErr w:type="spellStart"/>
      <w:r w:rsidRPr="00773194">
        <w:rPr>
          <w:sz w:val="24"/>
          <w:szCs w:val="24"/>
          <w:lang w:val="nl-NL"/>
        </w:rPr>
        <w:t>SURFaudit</w:t>
      </w:r>
      <w:proofErr w:type="spellEnd"/>
      <w:r w:rsidRPr="00773194">
        <w:rPr>
          <w:sz w:val="24"/>
          <w:szCs w:val="24"/>
          <w:lang w:val="nl-NL"/>
        </w:rPr>
        <w:t xml:space="preserve"> Toetsingskader Informatiebeveiliging. Voor applicaties kan het Certificeringsschema IBP ROSA een uniforme invulling geven aan beveiligingseisen richting leveranciers. Ook voor het mbo is de meerwaarde vooral gelegen in leveranciersmanagement, </w:t>
      </w:r>
      <w:proofErr w:type="spellStart"/>
      <w:r w:rsidRPr="00773194">
        <w:rPr>
          <w:sz w:val="24"/>
          <w:szCs w:val="24"/>
          <w:lang w:val="nl-NL"/>
        </w:rPr>
        <w:t>toetsbaarheid</w:t>
      </w:r>
      <w:proofErr w:type="spellEnd"/>
      <w:r w:rsidRPr="00773194">
        <w:rPr>
          <w:sz w:val="24"/>
          <w:szCs w:val="24"/>
          <w:lang w:val="nl-NL"/>
        </w:rPr>
        <w:t xml:space="preserve"> en hergebruik binnen sectorale afspraken.</w:t>
      </w:r>
    </w:p>
    <w:p w14:paraId="0148E75A" w14:textId="77777777" w:rsidR="00773194" w:rsidRPr="00773194" w:rsidRDefault="00773194" w:rsidP="00BE50A3">
      <w:pPr>
        <w:pStyle w:val="Geenafstand"/>
        <w:rPr>
          <w:sz w:val="24"/>
          <w:szCs w:val="24"/>
          <w:lang w:val="nl-NL"/>
        </w:rPr>
      </w:pPr>
    </w:p>
    <w:p w14:paraId="1B3B2819" w14:textId="77777777" w:rsidR="00BE50A3" w:rsidRPr="00773194" w:rsidRDefault="00BE50A3" w:rsidP="00BE50A3">
      <w:pPr>
        <w:pStyle w:val="Geenafstand"/>
        <w:rPr>
          <w:sz w:val="24"/>
          <w:szCs w:val="24"/>
          <w:lang w:val="nl-NL"/>
        </w:rPr>
      </w:pPr>
      <w:r w:rsidRPr="00773194">
        <w:rPr>
          <w:sz w:val="24"/>
          <w:szCs w:val="24"/>
          <w:lang w:val="nl-NL"/>
        </w:rPr>
        <w:t xml:space="preserve">In het hoger onderwijs wordt gewerkt met </w:t>
      </w:r>
      <w:proofErr w:type="spellStart"/>
      <w:r w:rsidRPr="00773194">
        <w:rPr>
          <w:sz w:val="24"/>
          <w:szCs w:val="24"/>
          <w:lang w:val="nl-NL"/>
        </w:rPr>
        <w:t>SURFaudit</w:t>
      </w:r>
      <w:proofErr w:type="spellEnd"/>
      <w:r w:rsidRPr="00773194">
        <w:rPr>
          <w:sz w:val="24"/>
          <w:szCs w:val="24"/>
          <w:lang w:val="nl-NL"/>
        </w:rPr>
        <w:t xml:space="preserve"> en mogelijk ook met ISO27001 of andere normenkaders. Daarnaast bestaan er security baselines of vergelijkbare instrumenten voor applicaties en diensten. Voor het hoger onderwijs is nadere afstemming nodig over de verhouding tussen het Certificeringsschema IBP ROSA, de bestaande </w:t>
      </w:r>
      <w:proofErr w:type="spellStart"/>
      <w:r w:rsidRPr="00773194">
        <w:rPr>
          <w:sz w:val="24"/>
          <w:szCs w:val="24"/>
          <w:lang w:val="nl-NL"/>
        </w:rPr>
        <w:t>SURFaudit</w:t>
      </w:r>
      <w:proofErr w:type="spellEnd"/>
      <w:r w:rsidRPr="00773194">
        <w:rPr>
          <w:sz w:val="24"/>
          <w:szCs w:val="24"/>
          <w:lang w:val="nl-NL"/>
        </w:rPr>
        <w:t>-systematiek, ISO27001 en eventuele sectorale security baselines. Daarbij is vooral van belang of en hoe een uniforme applicatiegerichte toetsing meerwaarde biedt naast bestaande kaders en ontwikkelingen.</w:t>
      </w:r>
    </w:p>
    <w:p w14:paraId="02855AEC" w14:textId="77777777" w:rsidR="00773194" w:rsidRPr="00773194" w:rsidRDefault="00773194" w:rsidP="00BE50A3">
      <w:pPr>
        <w:pStyle w:val="Geenafstand"/>
        <w:rPr>
          <w:sz w:val="24"/>
          <w:szCs w:val="24"/>
          <w:lang w:val="nl-NL"/>
        </w:rPr>
      </w:pPr>
    </w:p>
    <w:p w14:paraId="5B1F17C7" w14:textId="183BBB1A" w:rsidR="00BE50A3" w:rsidRPr="00773194" w:rsidRDefault="00BE50A3" w:rsidP="000156BC">
      <w:pPr>
        <w:pStyle w:val="Geenafstand"/>
        <w:rPr>
          <w:sz w:val="24"/>
          <w:szCs w:val="24"/>
          <w:lang w:val="nl-NL"/>
        </w:rPr>
      </w:pPr>
      <w:r w:rsidRPr="00773194">
        <w:rPr>
          <w:sz w:val="24"/>
          <w:szCs w:val="24"/>
          <w:lang w:val="nl-NL"/>
        </w:rPr>
        <w:t>Het uitgangspunt blijft dat sectoren op organisatieniveau eigen keuzes kunnen maken, terwijl het Certificeringsschema IBP ROSA kan bijdragen aan uniformiteit op applicatieniveau.</w:t>
      </w:r>
      <w:r w:rsidR="00B32BEC">
        <w:rPr>
          <w:sz w:val="24"/>
          <w:szCs w:val="24"/>
          <w:lang w:val="nl-NL"/>
        </w:rPr>
        <w:t xml:space="preserve"> </w:t>
      </w:r>
      <w:r w:rsidR="00B32BEC" w:rsidRPr="00B32BEC">
        <w:rPr>
          <w:sz w:val="24"/>
          <w:szCs w:val="24"/>
        </w:rPr>
        <w:t>Daarmee kan het Certificeringsschema dienen als gedeelde basis voor applicatiegerichte beveiligingseisen binnen afsprakenstelsels, modelovereenkomsten en leveranciersmanagement in het onderwijs.</w:t>
      </w:r>
    </w:p>
    <w:sectPr w:rsidR="00BE50A3" w:rsidRPr="00773194">
      <w:headerReference w:type="default" r:id="rId10"/>
      <w:footerReference w:type="default" r:id="rId11"/>
      <w:pgSz w:w="11909" w:h="16834"/>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C4B77" w14:textId="77777777" w:rsidR="00920BE7" w:rsidRDefault="00920BE7">
      <w:pPr>
        <w:spacing w:line="240" w:lineRule="auto"/>
      </w:pPr>
      <w:r>
        <w:separator/>
      </w:r>
    </w:p>
  </w:endnote>
  <w:endnote w:type="continuationSeparator" w:id="0">
    <w:p w14:paraId="729C3B63" w14:textId="77777777" w:rsidR="00920BE7" w:rsidRDefault="00920B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Proxima Nova">
    <w:altName w:val="Tahoma"/>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92990" w14:textId="661355D0" w:rsidR="00781E65" w:rsidRDefault="005867CE">
    <w:pPr>
      <w:rPr>
        <w:rFonts w:ascii="Proxima Nova" w:eastAsia="Proxima Nova" w:hAnsi="Proxima Nova" w:cs="Proxima Nova"/>
        <w:sz w:val="20"/>
        <w:szCs w:val="20"/>
      </w:rPr>
    </w:pPr>
    <w:r>
      <w:rPr>
        <w:rFonts w:ascii="Proxima Nova" w:eastAsia="Proxima Nova" w:hAnsi="Proxima Nova" w:cs="Proxima Nova"/>
        <w:color w:val="333333"/>
        <w:sz w:val="16"/>
        <w:szCs w:val="16"/>
      </w:rPr>
      <w:t>P</w:t>
    </w:r>
    <w:r w:rsidR="00CC34FE">
      <w:rPr>
        <w:rFonts w:ascii="Proxima Nova" w:eastAsia="Proxima Nova" w:hAnsi="Proxima Nova" w:cs="Proxima Nova"/>
        <w:color w:val="333333"/>
        <w:sz w:val="16"/>
        <w:szCs w:val="16"/>
      </w:rPr>
      <w:t xml:space="preserve">agina </w:t>
    </w:r>
    <w:r w:rsidR="00CC34FE">
      <w:rPr>
        <w:rFonts w:ascii="Proxima Nova" w:eastAsia="Proxima Nova" w:hAnsi="Proxima Nova" w:cs="Proxima Nova"/>
        <w:color w:val="333333"/>
        <w:sz w:val="16"/>
        <w:szCs w:val="16"/>
      </w:rPr>
      <w:fldChar w:fldCharType="begin"/>
    </w:r>
    <w:r w:rsidR="00CC34FE">
      <w:rPr>
        <w:rFonts w:ascii="Proxima Nova" w:eastAsia="Proxima Nova" w:hAnsi="Proxima Nova" w:cs="Proxima Nova"/>
        <w:color w:val="333333"/>
        <w:sz w:val="16"/>
        <w:szCs w:val="16"/>
      </w:rPr>
      <w:instrText>PAGE</w:instrText>
    </w:r>
    <w:r w:rsidR="00CC34FE">
      <w:rPr>
        <w:rFonts w:ascii="Proxima Nova" w:eastAsia="Proxima Nova" w:hAnsi="Proxima Nova" w:cs="Proxima Nova"/>
        <w:color w:val="333333"/>
        <w:sz w:val="16"/>
        <w:szCs w:val="16"/>
      </w:rPr>
      <w:fldChar w:fldCharType="separate"/>
    </w:r>
    <w:r w:rsidR="00BE0079">
      <w:rPr>
        <w:rFonts w:ascii="Proxima Nova" w:eastAsia="Proxima Nova" w:hAnsi="Proxima Nova" w:cs="Proxima Nova"/>
        <w:noProof/>
        <w:color w:val="333333"/>
        <w:sz w:val="16"/>
        <w:szCs w:val="16"/>
      </w:rPr>
      <w:t>1</w:t>
    </w:r>
    <w:r w:rsidR="00CC34FE">
      <w:rPr>
        <w:rFonts w:ascii="Proxima Nova" w:eastAsia="Proxima Nova" w:hAnsi="Proxima Nova" w:cs="Proxima Nova"/>
        <w:color w:val="333333"/>
        <w:sz w:val="16"/>
        <w:szCs w:val="16"/>
      </w:rPr>
      <w:fldChar w:fldCharType="end"/>
    </w:r>
    <w:r w:rsidR="00CC34FE">
      <w:rPr>
        <w:rFonts w:ascii="Proxima Nova" w:eastAsia="Proxima Nova" w:hAnsi="Proxima Nova" w:cs="Proxima Nova"/>
        <w:color w:val="333333"/>
        <w:sz w:val="16"/>
        <w:szCs w:val="16"/>
      </w:rPr>
      <w:t>/</w:t>
    </w:r>
    <w:r w:rsidR="00CC34FE">
      <w:rPr>
        <w:rFonts w:ascii="Proxima Nova" w:eastAsia="Proxima Nova" w:hAnsi="Proxima Nova" w:cs="Proxima Nova"/>
        <w:color w:val="333333"/>
        <w:sz w:val="16"/>
        <w:szCs w:val="16"/>
      </w:rPr>
      <w:fldChar w:fldCharType="begin"/>
    </w:r>
    <w:r w:rsidR="00CC34FE">
      <w:rPr>
        <w:rFonts w:ascii="Proxima Nova" w:eastAsia="Proxima Nova" w:hAnsi="Proxima Nova" w:cs="Proxima Nova"/>
        <w:color w:val="333333"/>
        <w:sz w:val="16"/>
        <w:szCs w:val="16"/>
      </w:rPr>
      <w:instrText>NUMPAGES</w:instrText>
    </w:r>
    <w:r w:rsidR="00CC34FE">
      <w:rPr>
        <w:rFonts w:ascii="Proxima Nova" w:eastAsia="Proxima Nova" w:hAnsi="Proxima Nova" w:cs="Proxima Nova"/>
        <w:color w:val="333333"/>
        <w:sz w:val="16"/>
        <w:szCs w:val="16"/>
      </w:rPr>
      <w:fldChar w:fldCharType="separate"/>
    </w:r>
    <w:r w:rsidR="00BE0079">
      <w:rPr>
        <w:rFonts w:ascii="Proxima Nova" w:eastAsia="Proxima Nova" w:hAnsi="Proxima Nova" w:cs="Proxima Nova"/>
        <w:noProof/>
        <w:color w:val="333333"/>
        <w:sz w:val="16"/>
        <w:szCs w:val="16"/>
      </w:rPr>
      <w:t>2</w:t>
    </w:r>
    <w:r w:rsidR="00CC34FE">
      <w:rPr>
        <w:rFonts w:ascii="Proxima Nova" w:eastAsia="Proxima Nova" w:hAnsi="Proxima Nova" w:cs="Proxima Nova"/>
        <w:color w:val="333333"/>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AD11C" w14:textId="77777777" w:rsidR="00920BE7" w:rsidRDefault="00920BE7">
      <w:pPr>
        <w:spacing w:line="240" w:lineRule="auto"/>
      </w:pPr>
      <w:r>
        <w:separator/>
      </w:r>
    </w:p>
  </w:footnote>
  <w:footnote w:type="continuationSeparator" w:id="0">
    <w:p w14:paraId="29F35442" w14:textId="77777777" w:rsidR="00920BE7" w:rsidRDefault="00920B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AAD75" w14:textId="7D6755A0" w:rsidR="0069154A" w:rsidRDefault="00E50E3B" w:rsidP="0069154A">
    <w:pPr>
      <w:jc w:val="right"/>
    </w:pPr>
    <w:r>
      <w:rPr>
        <w:noProof/>
        <w:color w:val="2B579A"/>
        <w:shd w:val="clear" w:color="auto" w:fill="E6E6E6"/>
      </w:rPr>
      <w:drawing>
        <wp:anchor distT="0" distB="0" distL="0" distR="0" simplePos="0" relativeHeight="251658241" behindDoc="0" locked="0" layoutInCell="1" hidden="0" allowOverlap="1" wp14:anchorId="3CEB74C3" wp14:editId="2FEB28D2">
          <wp:simplePos x="0" y="0"/>
          <wp:positionH relativeFrom="margin">
            <wp:posOffset>4026877</wp:posOffset>
          </wp:positionH>
          <wp:positionV relativeFrom="paragraph">
            <wp:posOffset>0</wp:posOffset>
          </wp:positionV>
          <wp:extent cx="1889760" cy="381000"/>
          <wp:effectExtent l="0" t="0" r="0" b="0"/>
          <wp:wrapSquare wrapText="bothSides" distT="0" distB="0" distL="0" distR="0"/>
          <wp:docPr id="1622968020" name="image1.png" descr="\\fileserver\users$\dommisse01\Edustandaard\Edustandaard huisstijlbestanden\Edustandaard huisstijlbestanden\bronbestanden\Edustandaard logo\PNG\Edustandaard logo - diapositief.png">
            <a:extLst xmlns:a="http://schemas.openxmlformats.org/drawingml/2006/main">
              <a:ext uri="{FF2B5EF4-FFF2-40B4-BE49-F238E27FC236}">
                <a16:creationId xmlns:a16="http://schemas.microsoft.com/office/drawing/2014/main" id="{FB7C2C56-A205-4929-BC30-D0507D57ECAE}"/>
              </a:ext>
            </a:extLst>
          </wp:docPr>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889760" cy="381000"/>
                  </a:xfrm>
                  <a:prstGeom prst="rect">
                    <a:avLst/>
                  </a:prstGeom>
                  <a:ln/>
                </pic:spPr>
              </pic:pic>
            </a:graphicData>
          </a:graphic>
          <wp14:sizeRelH relativeFrom="margin">
            <wp14:pctWidth>0</wp14:pctWidth>
          </wp14:sizeRelH>
          <wp14:sizeRelV relativeFrom="margin">
            <wp14:pctHeight>0</wp14:pctHeight>
          </wp14:sizeRelV>
        </wp:anchor>
      </w:drawing>
    </w:r>
    <w:r w:rsidR="00947A04">
      <w:rPr>
        <w:noProof/>
        <w:color w:val="2B579A"/>
        <w:shd w:val="clear" w:color="auto" w:fill="E6E6E6"/>
      </w:rPr>
      <w:drawing>
        <wp:anchor distT="0" distB="0" distL="0" distR="0" simplePos="0" relativeHeight="251658240" behindDoc="0" locked="0" layoutInCell="1" hidden="0" allowOverlap="1" wp14:anchorId="4D199D50" wp14:editId="6AB4DC27">
          <wp:simplePos x="0" y="0"/>
          <wp:positionH relativeFrom="margin">
            <wp:posOffset>4026877</wp:posOffset>
          </wp:positionH>
          <wp:positionV relativeFrom="paragraph">
            <wp:posOffset>0</wp:posOffset>
          </wp:positionV>
          <wp:extent cx="1889760" cy="381000"/>
          <wp:effectExtent l="0" t="0" r="0" b="0"/>
          <wp:wrapSquare wrapText="bothSides" distT="0" distB="0" distL="0" distR="0"/>
          <wp:docPr id="1466234451" name="image1.png" descr="\\fileserver\users$\dommisse01\Edustandaard\Edustandaard huisstijlbestanden\Edustandaard huisstijlbestanden\bronbestanden\Edustandaard logo\PNG\Edustandaard logo - diapositief.png"/>
          <wp:cNvGraphicFramePr/>
          <a:graphic xmlns:a="http://schemas.openxmlformats.org/drawingml/2006/main">
            <a:graphicData uri="http://schemas.openxmlformats.org/drawingml/2006/picture">
              <pic:pic xmlns:pic="http://schemas.openxmlformats.org/drawingml/2006/picture">
                <pic:nvPicPr>
                  <pic:cNvPr id="0" name="image1.png" descr="\\fileserver\users$\dommisse01\Edustandaard\Edustandaard huisstijlbestanden\Edustandaard huisstijlbestanden\bronbestanden\Edustandaard logo\PNG\Edustandaard logo - diapositief.png"/>
                  <pic:cNvPicPr preferRelativeResize="0"/>
                </pic:nvPicPr>
                <pic:blipFill>
                  <a:blip r:embed="rId1"/>
                  <a:srcRect/>
                  <a:stretch>
                    <a:fillRect/>
                  </a:stretch>
                </pic:blipFill>
                <pic:spPr>
                  <a:xfrm>
                    <a:off x="0" y="0"/>
                    <a:ext cx="1889760" cy="381000"/>
                  </a:xfrm>
                  <a:prstGeom prst="rect">
                    <a:avLst/>
                  </a:prstGeom>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9273F"/>
    <w:multiLevelType w:val="hybridMultilevel"/>
    <w:tmpl w:val="884C358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2D44F86"/>
    <w:multiLevelType w:val="hybridMultilevel"/>
    <w:tmpl w:val="2708BC5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2AA53E65"/>
    <w:multiLevelType w:val="multilevel"/>
    <w:tmpl w:val="2AC88CA0"/>
    <w:lvl w:ilvl="0">
      <w:start w:val="1"/>
      <w:numFmt w:val="decimal"/>
      <w:pStyle w:val="Kop1"/>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16cid:durableId="1521506154">
    <w:abstractNumId w:val="2"/>
  </w:num>
  <w:num w:numId="2" w16cid:durableId="2090080394">
    <w:abstractNumId w:val="0"/>
  </w:num>
  <w:num w:numId="3" w16cid:durableId="975572065">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1E65"/>
    <w:rsid w:val="000156BC"/>
    <w:rsid w:val="000257C9"/>
    <w:rsid w:val="000331BB"/>
    <w:rsid w:val="0003786D"/>
    <w:rsid w:val="00051C16"/>
    <w:rsid w:val="00055CED"/>
    <w:rsid w:val="00056742"/>
    <w:rsid w:val="00057287"/>
    <w:rsid w:val="00060884"/>
    <w:rsid w:val="000705C5"/>
    <w:rsid w:val="00081EFF"/>
    <w:rsid w:val="00087751"/>
    <w:rsid w:val="000A52D1"/>
    <w:rsid w:val="000B444C"/>
    <w:rsid w:val="000B53DC"/>
    <w:rsid w:val="000C0FB8"/>
    <w:rsid w:val="000C2C79"/>
    <w:rsid w:val="000D2A7F"/>
    <w:rsid w:val="000F260D"/>
    <w:rsid w:val="00105534"/>
    <w:rsid w:val="00106EB0"/>
    <w:rsid w:val="001075A0"/>
    <w:rsid w:val="00122014"/>
    <w:rsid w:val="001350F5"/>
    <w:rsid w:val="001352C7"/>
    <w:rsid w:val="00141874"/>
    <w:rsid w:val="00146638"/>
    <w:rsid w:val="00150254"/>
    <w:rsid w:val="00156B62"/>
    <w:rsid w:val="00161EF3"/>
    <w:rsid w:val="00162812"/>
    <w:rsid w:val="001726E9"/>
    <w:rsid w:val="00177A4C"/>
    <w:rsid w:val="001A5140"/>
    <w:rsid w:val="001B1788"/>
    <w:rsid w:val="001C3EAF"/>
    <w:rsid w:val="001D146D"/>
    <w:rsid w:val="001E7819"/>
    <w:rsid w:val="001F23BC"/>
    <w:rsid w:val="001F6AEE"/>
    <w:rsid w:val="002046A4"/>
    <w:rsid w:val="00210F13"/>
    <w:rsid w:val="00214D83"/>
    <w:rsid w:val="0021570E"/>
    <w:rsid w:val="002159BE"/>
    <w:rsid w:val="00231B49"/>
    <w:rsid w:val="00234C77"/>
    <w:rsid w:val="002422A6"/>
    <w:rsid w:val="00244F79"/>
    <w:rsid w:val="00287068"/>
    <w:rsid w:val="002911FD"/>
    <w:rsid w:val="00295911"/>
    <w:rsid w:val="002A62A6"/>
    <w:rsid w:val="002C55C1"/>
    <w:rsid w:val="002D0F5E"/>
    <w:rsid w:val="002D7474"/>
    <w:rsid w:val="002E6BD9"/>
    <w:rsid w:val="002E7AFB"/>
    <w:rsid w:val="002F1190"/>
    <w:rsid w:val="002F68E1"/>
    <w:rsid w:val="003045B2"/>
    <w:rsid w:val="00306D1C"/>
    <w:rsid w:val="00325169"/>
    <w:rsid w:val="003264B9"/>
    <w:rsid w:val="0033321C"/>
    <w:rsid w:val="00345083"/>
    <w:rsid w:val="00354F66"/>
    <w:rsid w:val="003606DB"/>
    <w:rsid w:val="00365FAE"/>
    <w:rsid w:val="0036737F"/>
    <w:rsid w:val="00370B6B"/>
    <w:rsid w:val="003710A9"/>
    <w:rsid w:val="00381BCF"/>
    <w:rsid w:val="00391BBC"/>
    <w:rsid w:val="00391F9E"/>
    <w:rsid w:val="00392A9D"/>
    <w:rsid w:val="003A4166"/>
    <w:rsid w:val="003A6283"/>
    <w:rsid w:val="003C2068"/>
    <w:rsid w:val="003D41F0"/>
    <w:rsid w:val="003D7CCD"/>
    <w:rsid w:val="003D7DFA"/>
    <w:rsid w:val="00407DEA"/>
    <w:rsid w:val="004102DF"/>
    <w:rsid w:val="004128DF"/>
    <w:rsid w:val="0042357B"/>
    <w:rsid w:val="00427666"/>
    <w:rsid w:val="00427697"/>
    <w:rsid w:val="00435D0D"/>
    <w:rsid w:val="00435F24"/>
    <w:rsid w:val="00442B90"/>
    <w:rsid w:val="00451386"/>
    <w:rsid w:val="00456973"/>
    <w:rsid w:val="00464D35"/>
    <w:rsid w:val="00471AA1"/>
    <w:rsid w:val="00474314"/>
    <w:rsid w:val="0047520D"/>
    <w:rsid w:val="00494815"/>
    <w:rsid w:val="004B17B1"/>
    <w:rsid w:val="004C0BC1"/>
    <w:rsid w:val="004D0FE1"/>
    <w:rsid w:val="004D41D2"/>
    <w:rsid w:val="004D7133"/>
    <w:rsid w:val="004E060B"/>
    <w:rsid w:val="005051BE"/>
    <w:rsid w:val="005134E0"/>
    <w:rsid w:val="00514238"/>
    <w:rsid w:val="00520CC5"/>
    <w:rsid w:val="00533DD0"/>
    <w:rsid w:val="00534128"/>
    <w:rsid w:val="00536C44"/>
    <w:rsid w:val="00545BA5"/>
    <w:rsid w:val="00547D01"/>
    <w:rsid w:val="00553FB3"/>
    <w:rsid w:val="00556095"/>
    <w:rsid w:val="005626FE"/>
    <w:rsid w:val="00567608"/>
    <w:rsid w:val="00570CDC"/>
    <w:rsid w:val="005739BC"/>
    <w:rsid w:val="0057463C"/>
    <w:rsid w:val="00575ED2"/>
    <w:rsid w:val="005831D4"/>
    <w:rsid w:val="005867CE"/>
    <w:rsid w:val="0058780A"/>
    <w:rsid w:val="00597886"/>
    <w:rsid w:val="005A14A8"/>
    <w:rsid w:val="005A201D"/>
    <w:rsid w:val="005A7AAF"/>
    <w:rsid w:val="005B6040"/>
    <w:rsid w:val="005C6E98"/>
    <w:rsid w:val="005E165D"/>
    <w:rsid w:val="005E7626"/>
    <w:rsid w:val="005F59EC"/>
    <w:rsid w:val="00604FCD"/>
    <w:rsid w:val="0063219D"/>
    <w:rsid w:val="00633F5B"/>
    <w:rsid w:val="00643336"/>
    <w:rsid w:val="00657B64"/>
    <w:rsid w:val="0069134D"/>
    <w:rsid w:val="0069154A"/>
    <w:rsid w:val="006A4DB1"/>
    <w:rsid w:val="006B16E1"/>
    <w:rsid w:val="006C23A8"/>
    <w:rsid w:val="006D5545"/>
    <w:rsid w:val="006E275D"/>
    <w:rsid w:val="00706578"/>
    <w:rsid w:val="00714CF6"/>
    <w:rsid w:val="00717CDA"/>
    <w:rsid w:val="0072096B"/>
    <w:rsid w:val="00722522"/>
    <w:rsid w:val="00724396"/>
    <w:rsid w:val="0072753E"/>
    <w:rsid w:val="00734D22"/>
    <w:rsid w:val="007433B7"/>
    <w:rsid w:val="00744B2D"/>
    <w:rsid w:val="00745302"/>
    <w:rsid w:val="0076745B"/>
    <w:rsid w:val="00773194"/>
    <w:rsid w:val="00781E65"/>
    <w:rsid w:val="007821F4"/>
    <w:rsid w:val="0079294A"/>
    <w:rsid w:val="00796545"/>
    <w:rsid w:val="00796D62"/>
    <w:rsid w:val="007A1C6C"/>
    <w:rsid w:val="007B28D3"/>
    <w:rsid w:val="007B39B5"/>
    <w:rsid w:val="007C032D"/>
    <w:rsid w:val="007E718B"/>
    <w:rsid w:val="00802BD7"/>
    <w:rsid w:val="008069A4"/>
    <w:rsid w:val="00806A61"/>
    <w:rsid w:val="00815F1B"/>
    <w:rsid w:val="00817269"/>
    <w:rsid w:val="0082670C"/>
    <w:rsid w:val="008353D7"/>
    <w:rsid w:val="00841226"/>
    <w:rsid w:val="008677AC"/>
    <w:rsid w:val="00876773"/>
    <w:rsid w:val="00892602"/>
    <w:rsid w:val="00895FE8"/>
    <w:rsid w:val="008A6635"/>
    <w:rsid w:val="008B605B"/>
    <w:rsid w:val="008C1E17"/>
    <w:rsid w:val="008C3BCB"/>
    <w:rsid w:val="008C3D9F"/>
    <w:rsid w:val="008E232E"/>
    <w:rsid w:val="008F7545"/>
    <w:rsid w:val="0090389B"/>
    <w:rsid w:val="00904C72"/>
    <w:rsid w:val="00920BE7"/>
    <w:rsid w:val="00926890"/>
    <w:rsid w:val="009345F8"/>
    <w:rsid w:val="00941D6A"/>
    <w:rsid w:val="00943766"/>
    <w:rsid w:val="00946E96"/>
    <w:rsid w:val="00947A04"/>
    <w:rsid w:val="009622AE"/>
    <w:rsid w:val="00985A1C"/>
    <w:rsid w:val="009A4DD2"/>
    <w:rsid w:val="009B5E60"/>
    <w:rsid w:val="009C013B"/>
    <w:rsid w:val="009C0C43"/>
    <w:rsid w:val="009C3D67"/>
    <w:rsid w:val="009C5A83"/>
    <w:rsid w:val="009D6788"/>
    <w:rsid w:val="009D74BF"/>
    <w:rsid w:val="009E00B4"/>
    <w:rsid w:val="009E2085"/>
    <w:rsid w:val="009E377E"/>
    <w:rsid w:val="00A12B3E"/>
    <w:rsid w:val="00A17ED6"/>
    <w:rsid w:val="00A2217E"/>
    <w:rsid w:val="00A26252"/>
    <w:rsid w:val="00A272A1"/>
    <w:rsid w:val="00A451F0"/>
    <w:rsid w:val="00A45D57"/>
    <w:rsid w:val="00A4791B"/>
    <w:rsid w:val="00A56343"/>
    <w:rsid w:val="00A62D37"/>
    <w:rsid w:val="00A64204"/>
    <w:rsid w:val="00A90C3B"/>
    <w:rsid w:val="00A96245"/>
    <w:rsid w:val="00AB06A8"/>
    <w:rsid w:val="00AB41EF"/>
    <w:rsid w:val="00AC2A24"/>
    <w:rsid w:val="00AD3ABF"/>
    <w:rsid w:val="00AD5205"/>
    <w:rsid w:val="00B10D9A"/>
    <w:rsid w:val="00B1434B"/>
    <w:rsid w:val="00B17356"/>
    <w:rsid w:val="00B26556"/>
    <w:rsid w:val="00B27573"/>
    <w:rsid w:val="00B32BEC"/>
    <w:rsid w:val="00B706BC"/>
    <w:rsid w:val="00B716FB"/>
    <w:rsid w:val="00B729D4"/>
    <w:rsid w:val="00B80D7B"/>
    <w:rsid w:val="00B82A8D"/>
    <w:rsid w:val="00BA1208"/>
    <w:rsid w:val="00BC4876"/>
    <w:rsid w:val="00BC4CFF"/>
    <w:rsid w:val="00BD42F3"/>
    <w:rsid w:val="00BD6E67"/>
    <w:rsid w:val="00BD7D03"/>
    <w:rsid w:val="00BE0079"/>
    <w:rsid w:val="00BE4CFB"/>
    <w:rsid w:val="00BE50A3"/>
    <w:rsid w:val="00BF0A6A"/>
    <w:rsid w:val="00BF17D1"/>
    <w:rsid w:val="00C23081"/>
    <w:rsid w:val="00C4150C"/>
    <w:rsid w:val="00C431C6"/>
    <w:rsid w:val="00C459DF"/>
    <w:rsid w:val="00C75FF1"/>
    <w:rsid w:val="00C7654A"/>
    <w:rsid w:val="00C83435"/>
    <w:rsid w:val="00C85FA4"/>
    <w:rsid w:val="00CA14FF"/>
    <w:rsid w:val="00CA4F4A"/>
    <w:rsid w:val="00CB2663"/>
    <w:rsid w:val="00CC34FE"/>
    <w:rsid w:val="00CD621E"/>
    <w:rsid w:val="00CD7BC2"/>
    <w:rsid w:val="00D024E0"/>
    <w:rsid w:val="00D049A5"/>
    <w:rsid w:val="00D05068"/>
    <w:rsid w:val="00D220DE"/>
    <w:rsid w:val="00D34678"/>
    <w:rsid w:val="00D46230"/>
    <w:rsid w:val="00D46D0F"/>
    <w:rsid w:val="00D4726E"/>
    <w:rsid w:val="00D520DB"/>
    <w:rsid w:val="00D76624"/>
    <w:rsid w:val="00D93F00"/>
    <w:rsid w:val="00D96267"/>
    <w:rsid w:val="00DA03A9"/>
    <w:rsid w:val="00DA55D2"/>
    <w:rsid w:val="00DC1C47"/>
    <w:rsid w:val="00DD5C8A"/>
    <w:rsid w:val="00DD6820"/>
    <w:rsid w:val="00DE2B52"/>
    <w:rsid w:val="00DE4630"/>
    <w:rsid w:val="00DF201A"/>
    <w:rsid w:val="00DF299E"/>
    <w:rsid w:val="00DF4129"/>
    <w:rsid w:val="00DF7939"/>
    <w:rsid w:val="00E05EEB"/>
    <w:rsid w:val="00E1791D"/>
    <w:rsid w:val="00E302B2"/>
    <w:rsid w:val="00E323AF"/>
    <w:rsid w:val="00E3438A"/>
    <w:rsid w:val="00E4065B"/>
    <w:rsid w:val="00E439E0"/>
    <w:rsid w:val="00E50607"/>
    <w:rsid w:val="00E50E3B"/>
    <w:rsid w:val="00E524BC"/>
    <w:rsid w:val="00E53DA0"/>
    <w:rsid w:val="00E6020E"/>
    <w:rsid w:val="00E61D16"/>
    <w:rsid w:val="00E74AAE"/>
    <w:rsid w:val="00E84519"/>
    <w:rsid w:val="00E871CD"/>
    <w:rsid w:val="00E94290"/>
    <w:rsid w:val="00E962DB"/>
    <w:rsid w:val="00EA0732"/>
    <w:rsid w:val="00EA20D6"/>
    <w:rsid w:val="00EA5265"/>
    <w:rsid w:val="00EC7BE6"/>
    <w:rsid w:val="00ED3EEA"/>
    <w:rsid w:val="00EF1093"/>
    <w:rsid w:val="00EF722A"/>
    <w:rsid w:val="00F0295F"/>
    <w:rsid w:val="00F055FA"/>
    <w:rsid w:val="00F145DF"/>
    <w:rsid w:val="00F21FED"/>
    <w:rsid w:val="00F32E72"/>
    <w:rsid w:val="00F36445"/>
    <w:rsid w:val="00F51F01"/>
    <w:rsid w:val="00F603C9"/>
    <w:rsid w:val="00F8317C"/>
    <w:rsid w:val="00F95DA1"/>
    <w:rsid w:val="00FC5DCE"/>
    <w:rsid w:val="00FD1DA3"/>
    <w:rsid w:val="00FE374C"/>
    <w:rsid w:val="00FF7DC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8A3311"/>
  <w15:docId w15:val="{18AE3F45-BB77-423D-8BDF-96F8B1BAF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nl" w:eastAsia="nl-N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Geenafstand"/>
    <w:next w:val="Standaard"/>
    <w:uiPriority w:val="9"/>
    <w:qFormat/>
    <w:rsid w:val="00A45D57"/>
    <w:pPr>
      <w:numPr>
        <w:numId w:val="1"/>
      </w:numPr>
      <w:outlineLvl w:val="0"/>
    </w:pPr>
    <w:rPr>
      <w:b/>
      <w:color w:val="333333"/>
      <w:sz w:val="24"/>
      <w:szCs w:val="24"/>
    </w:rPr>
  </w:style>
  <w:style w:type="paragraph" w:styleId="Kop2">
    <w:name w:val="heading 2"/>
    <w:basedOn w:val="Standaard"/>
    <w:next w:val="Standaard"/>
    <w:uiPriority w:val="9"/>
    <w:unhideWhenUsed/>
    <w:qFormat/>
    <w:pPr>
      <w:keepNext/>
      <w:keepLines/>
      <w:spacing w:before="360" w:after="120"/>
      <w:outlineLvl w:val="1"/>
    </w:pPr>
    <w:rPr>
      <w:sz w:val="32"/>
      <w:szCs w:val="32"/>
    </w:rPr>
  </w:style>
  <w:style w:type="paragraph" w:styleId="Kop3">
    <w:name w:val="heading 3"/>
    <w:basedOn w:val="Standaard"/>
    <w:next w:val="Standaard"/>
    <w:uiPriority w:val="9"/>
    <w:unhideWhenUsed/>
    <w:qFormat/>
    <w:pPr>
      <w:keepNext/>
      <w:keepLines/>
      <w:spacing w:before="320" w:after="80"/>
      <w:outlineLvl w:val="2"/>
    </w:pPr>
    <w:rPr>
      <w:color w:val="434343"/>
      <w:sz w:val="28"/>
      <w:szCs w:val="28"/>
    </w:rPr>
  </w:style>
  <w:style w:type="paragraph" w:styleId="Kop4">
    <w:name w:val="heading 4"/>
    <w:basedOn w:val="Standaard"/>
    <w:next w:val="Standaard"/>
    <w:uiPriority w:val="9"/>
    <w:semiHidden/>
    <w:unhideWhenUsed/>
    <w:qFormat/>
    <w:pPr>
      <w:keepNext/>
      <w:keepLines/>
      <w:spacing w:before="280" w:after="80"/>
      <w:outlineLvl w:val="3"/>
    </w:pPr>
    <w:rPr>
      <w:color w:val="666666"/>
      <w:sz w:val="24"/>
      <w:szCs w:val="24"/>
    </w:rPr>
  </w:style>
  <w:style w:type="paragraph" w:styleId="Kop5">
    <w:name w:val="heading 5"/>
    <w:basedOn w:val="Standaard"/>
    <w:next w:val="Standaard"/>
    <w:uiPriority w:val="9"/>
    <w:semiHidden/>
    <w:unhideWhenUsed/>
    <w:qFormat/>
    <w:pPr>
      <w:keepNext/>
      <w:keepLines/>
      <w:spacing w:before="240" w:after="80"/>
      <w:outlineLvl w:val="4"/>
    </w:pPr>
    <w:rPr>
      <w:color w:val="666666"/>
    </w:rPr>
  </w:style>
  <w:style w:type="paragraph" w:styleId="Kop6">
    <w:name w:val="heading 6"/>
    <w:basedOn w:val="Standaard"/>
    <w:next w:val="Standaard"/>
    <w:uiPriority w:val="9"/>
    <w:semiHidden/>
    <w:unhideWhenUsed/>
    <w:qFormat/>
    <w:pPr>
      <w:keepNext/>
      <w:keepLines/>
      <w:spacing w:before="240" w:after="80"/>
      <w:outlineLvl w:val="5"/>
    </w:pPr>
    <w:rPr>
      <w:i/>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next w:val="Standaard"/>
    <w:uiPriority w:val="10"/>
    <w:qFormat/>
    <w:pPr>
      <w:keepNext/>
      <w:keepLines/>
      <w:spacing w:after="60"/>
    </w:pPr>
    <w:rPr>
      <w:sz w:val="52"/>
      <w:szCs w:val="52"/>
    </w:rPr>
  </w:style>
  <w:style w:type="paragraph" w:styleId="Ondertitel">
    <w:name w:val="Subtitle"/>
    <w:basedOn w:val="Standaard"/>
    <w:next w:val="Standaard"/>
    <w:uiPriority w:val="11"/>
    <w:qFormat/>
    <w:pPr>
      <w:keepNext/>
      <w:keepLines/>
      <w:spacing w:after="320"/>
    </w:pPr>
    <w:rPr>
      <w:color w:val="666666"/>
      <w:sz w:val="30"/>
      <w:szCs w:val="30"/>
    </w:r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character" w:styleId="Hyperlink">
    <w:name w:val="Hyperlink"/>
    <w:basedOn w:val="Standaardalinea-lettertype"/>
    <w:uiPriority w:val="99"/>
    <w:unhideWhenUsed/>
    <w:rsid w:val="004D41D2"/>
    <w:rPr>
      <w:color w:val="0000FF" w:themeColor="hyperlink"/>
      <w:u w:val="single"/>
    </w:rPr>
  </w:style>
  <w:style w:type="character" w:styleId="Onopgelostemelding">
    <w:name w:val="Unresolved Mention"/>
    <w:basedOn w:val="Standaardalinea-lettertype"/>
    <w:uiPriority w:val="99"/>
    <w:semiHidden/>
    <w:unhideWhenUsed/>
    <w:rsid w:val="004D41D2"/>
    <w:rPr>
      <w:color w:val="605E5C"/>
      <w:shd w:val="clear" w:color="auto" w:fill="E1DFDD"/>
    </w:rPr>
  </w:style>
  <w:style w:type="character" w:customStyle="1" w:styleId="normaltextrun">
    <w:name w:val="normaltextrun"/>
    <w:basedOn w:val="Standaardalinea-lettertype"/>
    <w:rsid w:val="00545BA5"/>
  </w:style>
  <w:style w:type="character" w:customStyle="1" w:styleId="eop">
    <w:name w:val="eop"/>
    <w:basedOn w:val="Standaardalinea-lettertype"/>
    <w:rsid w:val="00545BA5"/>
  </w:style>
  <w:style w:type="paragraph" w:customStyle="1" w:styleId="paragraph">
    <w:name w:val="paragraph"/>
    <w:basedOn w:val="Standaard"/>
    <w:rsid w:val="008677AC"/>
    <w:pPr>
      <w:spacing w:before="100" w:beforeAutospacing="1" w:after="100" w:afterAutospacing="1" w:line="240" w:lineRule="auto"/>
    </w:pPr>
    <w:rPr>
      <w:rFonts w:ascii="Times New Roman" w:eastAsia="Times New Roman" w:hAnsi="Times New Roman" w:cs="Times New Roman"/>
      <w:sz w:val="24"/>
      <w:szCs w:val="24"/>
      <w:lang w:val="nl-NL"/>
    </w:rPr>
  </w:style>
  <w:style w:type="character" w:customStyle="1" w:styleId="scxw85612539">
    <w:name w:val="scxw85612539"/>
    <w:basedOn w:val="Standaardalinea-lettertype"/>
    <w:rsid w:val="00A26252"/>
  </w:style>
  <w:style w:type="character" w:customStyle="1" w:styleId="scxw27095175">
    <w:name w:val="scxw27095175"/>
    <w:basedOn w:val="Standaardalinea-lettertype"/>
    <w:rsid w:val="00A26252"/>
  </w:style>
  <w:style w:type="table" w:styleId="Tabelraster">
    <w:name w:val="Table Grid"/>
    <w:basedOn w:val="TableNormal"/>
    <w:uiPriority w:val="39"/>
    <w:rsid w:val="00A2625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A26252"/>
    <w:pPr>
      <w:ind w:left="720"/>
      <w:contextualSpacing/>
    </w:pPr>
  </w:style>
  <w:style w:type="paragraph" w:styleId="Inhopg1">
    <w:name w:val="toc 1"/>
    <w:basedOn w:val="Standaard"/>
    <w:next w:val="Standaard"/>
    <w:autoRedefine/>
    <w:uiPriority w:val="39"/>
    <w:unhideWhenUsed/>
    <w:rsid w:val="00156B62"/>
    <w:pPr>
      <w:tabs>
        <w:tab w:val="right" w:pos="9019"/>
      </w:tabs>
    </w:pPr>
  </w:style>
  <w:style w:type="character" w:styleId="Verwijzingopmerking">
    <w:name w:val="annotation reference"/>
    <w:basedOn w:val="Standaardalinea-lettertype"/>
    <w:uiPriority w:val="99"/>
    <w:semiHidden/>
    <w:unhideWhenUsed/>
    <w:rsid w:val="009345F8"/>
    <w:rPr>
      <w:sz w:val="16"/>
      <w:szCs w:val="16"/>
    </w:rPr>
  </w:style>
  <w:style w:type="paragraph" w:styleId="Tekstopmerking">
    <w:name w:val="annotation text"/>
    <w:basedOn w:val="Standaard"/>
    <w:link w:val="TekstopmerkingChar"/>
    <w:uiPriority w:val="99"/>
    <w:unhideWhenUsed/>
    <w:rsid w:val="009345F8"/>
    <w:pPr>
      <w:spacing w:line="240" w:lineRule="auto"/>
    </w:pPr>
    <w:rPr>
      <w:sz w:val="20"/>
      <w:szCs w:val="20"/>
    </w:rPr>
  </w:style>
  <w:style w:type="character" w:customStyle="1" w:styleId="TekstopmerkingChar">
    <w:name w:val="Tekst opmerking Char"/>
    <w:basedOn w:val="Standaardalinea-lettertype"/>
    <w:link w:val="Tekstopmerking"/>
    <w:uiPriority w:val="99"/>
    <w:rsid w:val="009345F8"/>
    <w:rPr>
      <w:sz w:val="20"/>
      <w:szCs w:val="20"/>
    </w:rPr>
  </w:style>
  <w:style w:type="paragraph" w:styleId="Onderwerpvanopmerking">
    <w:name w:val="annotation subject"/>
    <w:basedOn w:val="Tekstopmerking"/>
    <w:next w:val="Tekstopmerking"/>
    <w:link w:val="OnderwerpvanopmerkingChar"/>
    <w:uiPriority w:val="99"/>
    <w:semiHidden/>
    <w:unhideWhenUsed/>
    <w:rsid w:val="009345F8"/>
    <w:rPr>
      <w:b/>
      <w:bCs/>
    </w:rPr>
  </w:style>
  <w:style w:type="character" w:customStyle="1" w:styleId="OnderwerpvanopmerkingChar">
    <w:name w:val="Onderwerp van opmerking Char"/>
    <w:basedOn w:val="TekstopmerkingChar"/>
    <w:link w:val="Onderwerpvanopmerking"/>
    <w:uiPriority w:val="99"/>
    <w:semiHidden/>
    <w:rsid w:val="009345F8"/>
    <w:rPr>
      <w:b/>
      <w:bCs/>
      <w:sz w:val="20"/>
      <w:szCs w:val="20"/>
    </w:rPr>
  </w:style>
  <w:style w:type="paragraph" w:styleId="Koptekst">
    <w:name w:val="header"/>
    <w:basedOn w:val="Standaard"/>
    <w:link w:val="KoptekstChar1"/>
    <w:uiPriority w:val="99"/>
    <w:semiHidden/>
    <w:unhideWhenUsed/>
    <w:rsid w:val="00C75FF1"/>
    <w:pPr>
      <w:tabs>
        <w:tab w:val="center" w:pos="4536"/>
        <w:tab w:val="right" w:pos="9072"/>
      </w:tabs>
      <w:spacing w:line="240" w:lineRule="auto"/>
    </w:pPr>
  </w:style>
  <w:style w:type="character" w:customStyle="1" w:styleId="KoptekstChar">
    <w:name w:val="Koptekst Char"/>
    <w:basedOn w:val="Standaardalinea-lettertype"/>
    <w:uiPriority w:val="99"/>
    <w:rsid w:val="00354F66"/>
  </w:style>
  <w:style w:type="paragraph" w:styleId="Voettekst">
    <w:name w:val="footer"/>
    <w:basedOn w:val="Standaard"/>
    <w:link w:val="VoettekstChar1"/>
    <w:uiPriority w:val="99"/>
    <w:semiHidden/>
    <w:unhideWhenUsed/>
    <w:rsid w:val="00C75FF1"/>
    <w:pPr>
      <w:tabs>
        <w:tab w:val="center" w:pos="4536"/>
        <w:tab w:val="right" w:pos="9072"/>
      </w:tabs>
      <w:spacing w:line="240" w:lineRule="auto"/>
    </w:pPr>
  </w:style>
  <w:style w:type="character" w:customStyle="1" w:styleId="VoettekstChar">
    <w:name w:val="Voettekst Char"/>
    <w:basedOn w:val="Standaardalinea-lettertype"/>
    <w:uiPriority w:val="99"/>
    <w:rsid w:val="00354F66"/>
  </w:style>
  <w:style w:type="paragraph" w:styleId="Geenafstand">
    <w:name w:val="No Spacing"/>
    <w:uiPriority w:val="1"/>
    <w:qFormat/>
    <w:rsid w:val="00570CDC"/>
    <w:pPr>
      <w:spacing w:line="240" w:lineRule="auto"/>
    </w:pPr>
    <w:rPr>
      <w:rFonts w:ascii="Aptos Display" w:hAnsi="Aptos Display"/>
    </w:rPr>
  </w:style>
  <w:style w:type="paragraph" w:styleId="Kopvaninhoudsopgave">
    <w:name w:val="TOC Heading"/>
    <w:basedOn w:val="Kop1"/>
    <w:next w:val="Standaard"/>
    <w:uiPriority w:val="39"/>
    <w:unhideWhenUsed/>
    <w:qFormat/>
    <w:rsid w:val="00B10D9A"/>
    <w:pPr>
      <w:keepNext/>
      <w:keepLines/>
      <w:spacing w:before="240" w:line="259" w:lineRule="auto"/>
      <w:outlineLvl w:val="9"/>
    </w:pPr>
    <w:rPr>
      <w:rFonts w:asciiTheme="majorHAnsi" w:eastAsiaTheme="majorEastAsia" w:hAnsiTheme="majorHAnsi" w:cstheme="majorBidi"/>
      <w:b w:val="0"/>
      <w:color w:val="365F91" w:themeColor="accent1" w:themeShade="BF"/>
      <w:sz w:val="32"/>
      <w:szCs w:val="32"/>
      <w:lang w:val="nl-NL"/>
    </w:rPr>
  </w:style>
  <w:style w:type="character" w:styleId="Voetnootmarkering">
    <w:name w:val="footnote reference"/>
    <w:basedOn w:val="Standaardalinea-lettertype"/>
    <w:uiPriority w:val="99"/>
    <w:semiHidden/>
    <w:unhideWhenUsed/>
    <w:rsid w:val="006C23A8"/>
    <w:rPr>
      <w:vertAlign w:val="superscript"/>
    </w:rPr>
  </w:style>
  <w:style w:type="paragraph" w:styleId="Normaalweb">
    <w:name w:val="Normal (Web)"/>
    <w:basedOn w:val="Standaard"/>
    <w:uiPriority w:val="99"/>
    <w:semiHidden/>
    <w:unhideWhenUsed/>
    <w:rsid w:val="00597886"/>
    <w:pPr>
      <w:spacing w:before="100" w:beforeAutospacing="1" w:after="100" w:afterAutospacing="1" w:line="240" w:lineRule="auto"/>
    </w:pPr>
    <w:rPr>
      <w:rFonts w:ascii="Times New Roman" w:eastAsia="Times New Roman" w:hAnsi="Times New Roman" w:cs="Times New Roman"/>
      <w:sz w:val="24"/>
      <w:szCs w:val="24"/>
      <w:lang w:val="nl-NL"/>
    </w:rPr>
  </w:style>
  <w:style w:type="character" w:styleId="Zwaar">
    <w:name w:val="Strong"/>
    <w:basedOn w:val="Standaardalinea-lettertype"/>
    <w:uiPriority w:val="22"/>
    <w:qFormat/>
    <w:rsid w:val="00597886"/>
    <w:rPr>
      <w:b/>
      <w:bCs/>
    </w:rPr>
  </w:style>
  <w:style w:type="table" w:customStyle="1" w:styleId="TableNormal1">
    <w:name w:val="Table Normal1"/>
    <w:rsid w:val="00815F1B"/>
    <w:tblPr>
      <w:tblCellMar>
        <w:top w:w="0" w:type="dxa"/>
        <w:left w:w="0" w:type="dxa"/>
        <w:bottom w:w="0" w:type="dxa"/>
        <w:right w:w="0" w:type="dxa"/>
      </w:tblCellMar>
    </w:tblPr>
  </w:style>
  <w:style w:type="table" w:customStyle="1" w:styleId="TableNormal">
    <w:name w:val="Table Normal"/>
    <w:uiPriority w:val="99"/>
    <w:semiHidden/>
    <w:unhideWhenUsed/>
    <w:rsid w:val="00EA5265"/>
    <w:tblPr>
      <w:tblInd w:w="0" w:type="dxa"/>
      <w:tblCellMar>
        <w:top w:w="0" w:type="dxa"/>
        <w:left w:w="108" w:type="dxa"/>
        <w:bottom w:w="0" w:type="dxa"/>
        <w:right w:w="108" w:type="dxa"/>
      </w:tblCellMar>
    </w:tblPr>
  </w:style>
  <w:style w:type="character" w:customStyle="1" w:styleId="CommentReference">
    <w:name w:val="Comment Reference"/>
    <w:basedOn w:val="Standaardalinea-lettertype"/>
    <w:uiPriority w:val="99"/>
    <w:semiHidden/>
    <w:unhideWhenUsed/>
    <w:rsid w:val="00EA5265"/>
    <w:rPr>
      <w:sz w:val="16"/>
      <w:szCs w:val="16"/>
    </w:rPr>
  </w:style>
  <w:style w:type="paragraph" w:styleId="Revisie">
    <w:name w:val="Revision"/>
    <w:hidden/>
    <w:uiPriority w:val="99"/>
    <w:semiHidden/>
    <w:rsid w:val="00EA5265"/>
    <w:pPr>
      <w:spacing w:line="240" w:lineRule="auto"/>
    </w:pPr>
  </w:style>
  <w:style w:type="character" w:customStyle="1" w:styleId="TekstopmerkingChar1">
    <w:name w:val="Tekst opmerking Char1"/>
    <w:basedOn w:val="Standaardalinea-lettertype"/>
    <w:uiPriority w:val="99"/>
    <w:rsid w:val="00EA5265"/>
    <w:rPr>
      <w:sz w:val="20"/>
      <w:szCs w:val="20"/>
    </w:rPr>
  </w:style>
  <w:style w:type="character" w:customStyle="1" w:styleId="OnderwerpvanopmerkingChar1">
    <w:name w:val="Onderwerp van opmerking Char1"/>
    <w:basedOn w:val="TekstopmerkingChar1"/>
    <w:uiPriority w:val="99"/>
    <w:semiHidden/>
    <w:rsid w:val="00EA5265"/>
    <w:rPr>
      <w:b/>
      <w:bCs/>
      <w:sz w:val="20"/>
      <w:szCs w:val="20"/>
    </w:rPr>
  </w:style>
  <w:style w:type="character" w:customStyle="1" w:styleId="KoptekstChar1">
    <w:name w:val="Koptekst Char1"/>
    <w:basedOn w:val="Standaardalinea-lettertype"/>
    <w:link w:val="Koptekst"/>
    <w:uiPriority w:val="99"/>
    <w:semiHidden/>
    <w:rsid w:val="00EA5265"/>
  </w:style>
  <w:style w:type="character" w:customStyle="1" w:styleId="VoettekstChar1">
    <w:name w:val="Voettekst Char1"/>
    <w:basedOn w:val="Standaardalinea-lettertype"/>
    <w:link w:val="Voettekst"/>
    <w:uiPriority w:val="99"/>
    <w:semiHidden/>
    <w:rsid w:val="00EA52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35717">
      <w:bodyDiv w:val="1"/>
      <w:marLeft w:val="0"/>
      <w:marRight w:val="0"/>
      <w:marTop w:val="0"/>
      <w:marBottom w:val="0"/>
      <w:divBdr>
        <w:top w:val="none" w:sz="0" w:space="0" w:color="auto"/>
        <w:left w:val="none" w:sz="0" w:space="0" w:color="auto"/>
        <w:bottom w:val="none" w:sz="0" w:space="0" w:color="auto"/>
        <w:right w:val="none" w:sz="0" w:space="0" w:color="auto"/>
      </w:divBdr>
      <w:divsChild>
        <w:div w:id="715395090">
          <w:marLeft w:val="0"/>
          <w:marRight w:val="0"/>
          <w:marTop w:val="0"/>
          <w:marBottom w:val="0"/>
          <w:divBdr>
            <w:top w:val="none" w:sz="0" w:space="0" w:color="auto"/>
            <w:left w:val="none" w:sz="0" w:space="0" w:color="auto"/>
            <w:bottom w:val="none" w:sz="0" w:space="0" w:color="auto"/>
            <w:right w:val="none" w:sz="0" w:space="0" w:color="auto"/>
          </w:divBdr>
        </w:div>
        <w:div w:id="1103889283">
          <w:marLeft w:val="0"/>
          <w:marRight w:val="0"/>
          <w:marTop w:val="0"/>
          <w:marBottom w:val="0"/>
          <w:divBdr>
            <w:top w:val="none" w:sz="0" w:space="0" w:color="auto"/>
            <w:left w:val="none" w:sz="0" w:space="0" w:color="auto"/>
            <w:bottom w:val="none" w:sz="0" w:space="0" w:color="auto"/>
            <w:right w:val="none" w:sz="0" w:space="0" w:color="auto"/>
          </w:divBdr>
        </w:div>
        <w:div w:id="1559782936">
          <w:marLeft w:val="0"/>
          <w:marRight w:val="0"/>
          <w:marTop w:val="0"/>
          <w:marBottom w:val="0"/>
          <w:divBdr>
            <w:top w:val="none" w:sz="0" w:space="0" w:color="auto"/>
            <w:left w:val="none" w:sz="0" w:space="0" w:color="auto"/>
            <w:bottom w:val="none" w:sz="0" w:space="0" w:color="auto"/>
            <w:right w:val="none" w:sz="0" w:space="0" w:color="auto"/>
          </w:divBdr>
        </w:div>
      </w:divsChild>
    </w:div>
    <w:div w:id="527987877">
      <w:bodyDiv w:val="1"/>
      <w:marLeft w:val="0"/>
      <w:marRight w:val="0"/>
      <w:marTop w:val="0"/>
      <w:marBottom w:val="0"/>
      <w:divBdr>
        <w:top w:val="none" w:sz="0" w:space="0" w:color="auto"/>
        <w:left w:val="none" w:sz="0" w:space="0" w:color="auto"/>
        <w:bottom w:val="none" w:sz="0" w:space="0" w:color="auto"/>
        <w:right w:val="none" w:sz="0" w:space="0" w:color="auto"/>
      </w:divBdr>
      <w:divsChild>
        <w:div w:id="42338595">
          <w:marLeft w:val="0"/>
          <w:marRight w:val="0"/>
          <w:marTop w:val="0"/>
          <w:marBottom w:val="0"/>
          <w:divBdr>
            <w:top w:val="none" w:sz="0" w:space="0" w:color="auto"/>
            <w:left w:val="none" w:sz="0" w:space="0" w:color="auto"/>
            <w:bottom w:val="none" w:sz="0" w:space="0" w:color="auto"/>
            <w:right w:val="none" w:sz="0" w:space="0" w:color="auto"/>
          </w:divBdr>
        </w:div>
        <w:div w:id="1479565862">
          <w:marLeft w:val="0"/>
          <w:marRight w:val="0"/>
          <w:marTop w:val="0"/>
          <w:marBottom w:val="0"/>
          <w:divBdr>
            <w:top w:val="none" w:sz="0" w:space="0" w:color="auto"/>
            <w:left w:val="none" w:sz="0" w:space="0" w:color="auto"/>
            <w:bottom w:val="none" w:sz="0" w:space="0" w:color="auto"/>
            <w:right w:val="none" w:sz="0" w:space="0" w:color="auto"/>
          </w:divBdr>
        </w:div>
      </w:divsChild>
    </w:div>
    <w:div w:id="996345497">
      <w:bodyDiv w:val="1"/>
      <w:marLeft w:val="0"/>
      <w:marRight w:val="0"/>
      <w:marTop w:val="0"/>
      <w:marBottom w:val="0"/>
      <w:divBdr>
        <w:top w:val="none" w:sz="0" w:space="0" w:color="auto"/>
        <w:left w:val="none" w:sz="0" w:space="0" w:color="auto"/>
        <w:bottom w:val="none" w:sz="0" w:space="0" w:color="auto"/>
        <w:right w:val="none" w:sz="0" w:space="0" w:color="auto"/>
      </w:divBdr>
      <w:divsChild>
        <w:div w:id="606040072">
          <w:marLeft w:val="0"/>
          <w:marRight w:val="0"/>
          <w:marTop w:val="0"/>
          <w:marBottom w:val="0"/>
          <w:divBdr>
            <w:top w:val="none" w:sz="0" w:space="0" w:color="auto"/>
            <w:left w:val="none" w:sz="0" w:space="0" w:color="auto"/>
            <w:bottom w:val="none" w:sz="0" w:space="0" w:color="auto"/>
            <w:right w:val="none" w:sz="0" w:space="0" w:color="auto"/>
          </w:divBdr>
        </w:div>
        <w:div w:id="1722092323">
          <w:marLeft w:val="0"/>
          <w:marRight w:val="0"/>
          <w:marTop w:val="0"/>
          <w:marBottom w:val="0"/>
          <w:divBdr>
            <w:top w:val="none" w:sz="0" w:space="0" w:color="auto"/>
            <w:left w:val="none" w:sz="0" w:space="0" w:color="auto"/>
            <w:bottom w:val="none" w:sz="0" w:space="0" w:color="auto"/>
            <w:right w:val="none" w:sz="0" w:space="0" w:color="auto"/>
          </w:divBdr>
        </w:div>
        <w:div w:id="1986934654">
          <w:marLeft w:val="0"/>
          <w:marRight w:val="0"/>
          <w:marTop w:val="0"/>
          <w:marBottom w:val="0"/>
          <w:divBdr>
            <w:top w:val="none" w:sz="0" w:space="0" w:color="auto"/>
            <w:left w:val="none" w:sz="0" w:space="0" w:color="auto"/>
            <w:bottom w:val="none" w:sz="0" w:space="0" w:color="auto"/>
            <w:right w:val="none" w:sz="0" w:space="0" w:color="auto"/>
          </w:divBdr>
        </w:div>
        <w:div w:id="2063675885">
          <w:marLeft w:val="0"/>
          <w:marRight w:val="0"/>
          <w:marTop w:val="0"/>
          <w:marBottom w:val="0"/>
          <w:divBdr>
            <w:top w:val="none" w:sz="0" w:space="0" w:color="auto"/>
            <w:left w:val="none" w:sz="0" w:space="0" w:color="auto"/>
            <w:bottom w:val="none" w:sz="0" w:space="0" w:color="auto"/>
            <w:right w:val="none" w:sz="0" w:space="0" w:color="auto"/>
          </w:divBdr>
        </w:div>
      </w:divsChild>
    </w:div>
    <w:div w:id="1341153665">
      <w:bodyDiv w:val="1"/>
      <w:marLeft w:val="0"/>
      <w:marRight w:val="0"/>
      <w:marTop w:val="0"/>
      <w:marBottom w:val="0"/>
      <w:divBdr>
        <w:top w:val="none" w:sz="0" w:space="0" w:color="auto"/>
        <w:left w:val="none" w:sz="0" w:space="0" w:color="auto"/>
        <w:bottom w:val="none" w:sz="0" w:space="0" w:color="auto"/>
        <w:right w:val="none" w:sz="0" w:space="0" w:color="auto"/>
      </w:divBdr>
      <w:divsChild>
        <w:div w:id="246038305">
          <w:marLeft w:val="0"/>
          <w:marRight w:val="0"/>
          <w:marTop w:val="0"/>
          <w:marBottom w:val="0"/>
          <w:divBdr>
            <w:top w:val="none" w:sz="0" w:space="0" w:color="auto"/>
            <w:left w:val="none" w:sz="0" w:space="0" w:color="auto"/>
            <w:bottom w:val="none" w:sz="0" w:space="0" w:color="auto"/>
            <w:right w:val="none" w:sz="0" w:space="0" w:color="auto"/>
          </w:divBdr>
        </w:div>
        <w:div w:id="355271242">
          <w:marLeft w:val="0"/>
          <w:marRight w:val="0"/>
          <w:marTop w:val="0"/>
          <w:marBottom w:val="0"/>
          <w:divBdr>
            <w:top w:val="none" w:sz="0" w:space="0" w:color="auto"/>
            <w:left w:val="none" w:sz="0" w:space="0" w:color="auto"/>
            <w:bottom w:val="none" w:sz="0" w:space="0" w:color="auto"/>
            <w:right w:val="none" w:sz="0" w:space="0" w:color="auto"/>
          </w:divBdr>
        </w:div>
        <w:div w:id="1081484727">
          <w:marLeft w:val="0"/>
          <w:marRight w:val="0"/>
          <w:marTop w:val="0"/>
          <w:marBottom w:val="0"/>
          <w:divBdr>
            <w:top w:val="none" w:sz="0" w:space="0" w:color="auto"/>
            <w:left w:val="none" w:sz="0" w:space="0" w:color="auto"/>
            <w:bottom w:val="none" w:sz="0" w:space="0" w:color="auto"/>
            <w:right w:val="none" w:sz="0" w:space="0" w:color="auto"/>
          </w:divBdr>
        </w:div>
        <w:div w:id="1599676918">
          <w:marLeft w:val="0"/>
          <w:marRight w:val="0"/>
          <w:marTop w:val="0"/>
          <w:marBottom w:val="0"/>
          <w:divBdr>
            <w:top w:val="none" w:sz="0" w:space="0" w:color="auto"/>
            <w:left w:val="none" w:sz="0" w:space="0" w:color="auto"/>
            <w:bottom w:val="none" w:sz="0" w:space="0" w:color="auto"/>
            <w:right w:val="none" w:sz="0" w:space="0" w:color="auto"/>
          </w:divBdr>
        </w:div>
        <w:div w:id="1675182932">
          <w:marLeft w:val="0"/>
          <w:marRight w:val="0"/>
          <w:marTop w:val="0"/>
          <w:marBottom w:val="0"/>
          <w:divBdr>
            <w:top w:val="none" w:sz="0" w:space="0" w:color="auto"/>
            <w:left w:val="none" w:sz="0" w:space="0" w:color="auto"/>
            <w:bottom w:val="none" w:sz="0" w:space="0" w:color="auto"/>
            <w:right w:val="none" w:sz="0" w:space="0" w:color="auto"/>
          </w:divBdr>
        </w:div>
        <w:div w:id="1978996559">
          <w:marLeft w:val="0"/>
          <w:marRight w:val="0"/>
          <w:marTop w:val="0"/>
          <w:marBottom w:val="0"/>
          <w:divBdr>
            <w:top w:val="none" w:sz="0" w:space="0" w:color="auto"/>
            <w:left w:val="none" w:sz="0" w:space="0" w:color="auto"/>
            <w:bottom w:val="none" w:sz="0" w:space="0" w:color="auto"/>
            <w:right w:val="none" w:sz="0" w:space="0" w:color="auto"/>
          </w:divBdr>
        </w:div>
      </w:divsChild>
    </w:div>
    <w:div w:id="1432899450">
      <w:bodyDiv w:val="1"/>
      <w:marLeft w:val="0"/>
      <w:marRight w:val="0"/>
      <w:marTop w:val="0"/>
      <w:marBottom w:val="0"/>
      <w:divBdr>
        <w:top w:val="none" w:sz="0" w:space="0" w:color="auto"/>
        <w:left w:val="none" w:sz="0" w:space="0" w:color="auto"/>
        <w:bottom w:val="none" w:sz="0" w:space="0" w:color="auto"/>
        <w:right w:val="none" w:sz="0" w:space="0" w:color="auto"/>
      </w:divBdr>
      <w:divsChild>
        <w:div w:id="1747266865">
          <w:marLeft w:val="0"/>
          <w:marRight w:val="0"/>
          <w:marTop w:val="0"/>
          <w:marBottom w:val="0"/>
          <w:divBdr>
            <w:top w:val="none" w:sz="0" w:space="0" w:color="auto"/>
            <w:left w:val="none" w:sz="0" w:space="0" w:color="auto"/>
            <w:bottom w:val="none" w:sz="0" w:space="0" w:color="auto"/>
            <w:right w:val="none" w:sz="0" w:space="0" w:color="auto"/>
          </w:divBdr>
        </w:div>
      </w:divsChild>
    </w:div>
    <w:div w:id="1474445403">
      <w:bodyDiv w:val="1"/>
      <w:marLeft w:val="0"/>
      <w:marRight w:val="0"/>
      <w:marTop w:val="0"/>
      <w:marBottom w:val="0"/>
      <w:divBdr>
        <w:top w:val="none" w:sz="0" w:space="0" w:color="auto"/>
        <w:left w:val="none" w:sz="0" w:space="0" w:color="auto"/>
        <w:bottom w:val="none" w:sz="0" w:space="0" w:color="auto"/>
        <w:right w:val="none" w:sz="0" w:space="0" w:color="auto"/>
      </w:divBdr>
      <w:divsChild>
        <w:div w:id="968124652">
          <w:marLeft w:val="0"/>
          <w:marRight w:val="0"/>
          <w:marTop w:val="0"/>
          <w:marBottom w:val="0"/>
          <w:divBdr>
            <w:top w:val="none" w:sz="0" w:space="0" w:color="auto"/>
            <w:left w:val="none" w:sz="0" w:space="0" w:color="auto"/>
            <w:bottom w:val="none" w:sz="0" w:space="0" w:color="auto"/>
            <w:right w:val="none" w:sz="0" w:space="0" w:color="auto"/>
          </w:divBdr>
        </w:div>
      </w:divsChild>
    </w:div>
    <w:div w:id="1642344723">
      <w:bodyDiv w:val="1"/>
      <w:marLeft w:val="0"/>
      <w:marRight w:val="0"/>
      <w:marTop w:val="0"/>
      <w:marBottom w:val="0"/>
      <w:divBdr>
        <w:top w:val="none" w:sz="0" w:space="0" w:color="auto"/>
        <w:left w:val="none" w:sz="0" w:space="0" w:color="auto"/>
        <w:bottom w:val="none" w:sz="0" w:space="0" w:color="auto"/>
        <w:right w:val="none" w:sz="0" w:space="0" w:color="auto"/>
      </w:divBdr>
      <w:divsChild>
        <w:div w:id="368917474">
          <w:marLeft w:val="0"/>
          <w:marRight w:val="0"/>
          <w:marTop w:val="0"/>
          <w:marBottom w:val="0"/>
          <w:divBdr>
            <w:top w:val="none" w:sz="0" w:space="0" w:color="auto"/>
            <w:left w:val="none" w:sz="0" w:space="0" w:color="auto"/>
            <w:bottom w:val="none" w:sz="0" w:space="0" w:color="auto"/>
            <w:right w:val="none" w:sz="0" w:space="0" w:color="auto"/>
          </w:divBdr>
        </w:div>
        <w:div w:id="1331177465">
          <w:marLeft w:val="0"/>
          <w:marRight w:val="0"/>
          <w:marTop w:val="0"/>
          <w:marBottom w:val="0"/>
          <w:divBdr>
            <w:top w:val="none" w:sz="0" w:space="0" w:color="auto"/>
            <w:left w:val="none" w:sz="0" w:space="0" w:color="auto"/>
            <w:bottom w:val="none" w:sz="0" w:space="0" w:color="auto"/>
            <w:right w:val="none" w:sz="0" w:space="0" w:color="auto"/>
          </w:divBdr>
        </w:div>
        <w:div w:id="1926450010">
          <w:marLeft w:val="0"/>
          <w:marRight w:val="0"/>
          <w:marTop w:val="0"/>
          <w:marBottom w:val="0"/>
          <w:divBdr>
            <w:top w:val="none" w:sz="0" w:space="0" w:color="auto"/>
            <w:left w:val="none" w:sz="0" w:space="0" w:color="auto"/>
            <w:bottom w:val="none" w:sz="0" w:space="0" w:color="auto"/>
            <w:right w:val="none" w:sz="0" w:space="0" w:color="auto"/>
          </w:divBdr>
        </w:div>
        <w:div w:id="2026591884">
          <w:marLeft w:val="0"/>
          <w:marRight w:val="0"/>
          <w:marTop w:val="0"/>
          <w:marBottom w:val="0"/>
          <w:divBdr>
            <w:top w:val="none" w:sz="0" w:space="0" w:color="auto"/>
            <w:left w:val="none" w:sz="0" w:space="0" w:color="auto"/>
            <w:bottom w:val="none" w:sz="0" w:space="0" w:color="auto"/>
            <w:right w:val="none" w:sz="0" w:space="0" w:color="auto"/>
          </w:divBdr>
        </w:div>
      </w:divsChild>
    </w:div>
    <w:div w:id="1711607259">
      <w:bodyDiv w:val="1"/>
      <w:marLeft w:val="0"/>
      <w:marRight w:val="0"/>
      <w:marTop w:val="0"/>
      <w:marBottom w:val="0"/>
      <w:divBdr>
        <w:top w:val="none" w:sz="0" w:space="0" w:color="auto"/>
        <w:left w:val="none" w:sz="0" w:space="0" w:color="auto"/>
        <w:bottom w:val="none" w:sz="0" w:space="0" w:color="auto"/>
        <w:right w:val="none" w:sz="0" w:space="0" w:color="auto"/>
      </w:divBdr>
      <w:divsChild>
        <w:div w:id="538668222">
          <w:marLeft w:val="0"/>
          <w:marRight w:val="0"/>
          <w:marTop w:val="0"/>
          <w:marBottom w:val="0"/>
          <w:divBdr>
            <w:top w:val="none" w:sz="0" w:space="0" w:color="auto"/>
            <w:left w:val="none" w:sz="0" w:space="0" w:color="auto"/>
            <w:bottom w:val="none" w:sz="0" w:space="0" w:color="auto"/>
            <w:right w:val="none" w:sz="0" w:space="0" w:color="auto"/>
          </w:divBdr>
        </w:div>
        <w:div w:id="98247054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4e29972-5c5e-47fe-ad12-00d039a17518" xsi:nil="true"/>
    <lcf76f155ced4ddcb4097134ff3c332f xmlns="39a99b76-c1ba-496d-a4ea-cabdd8ad772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7E62FD89A9D6642B77167C6B5BF1437" ma:contentTypeVersion="17" ma:contentTypeDescription="Een nieuw document maken." ma:contentTypeScope="" ma:versionID="6e01c98577c7a960022b93c46c731029">
  <xsd:schema xmlns:xsd="http://www.w3.org/2001/XMLSchema" xmlns:xs="http://www.w3.org/2001/XMLSchema" xmlns:p="http://schemas.microsoft.com/office/2006/metadata/properties" xmlns:ns2="39a99b76-c1ba-496d-a4ea-cabdd8ad772e" xmlns:ns3="b4e29972-5c5e-47fe-ad12-00d039a17518" targetNamespace="http://schemas.microsoft.com/office/2006/metadata/properties" ma:root="true" ma:fieldsID="660e823ce0bd30c3c82ab285b414e85a" ns2:_="" ns3:_="">
    <xsd:import namespace="39a99b76-c1ba-496d-a4ea-cabdd8ad772e"/>
    <xsd:import namespace="b4e29972-5c5e-47fe-ad12-00d039a1751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a99b76-c1ba-496d-a4ea-cabdd8ad7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Afbeeldingtags" ma:readOnly="false" ma:fieldId="{5cf76f15-5ced-4ddc-b409-7134ff3c332f}" ma:taxonomyMulti="true" ma:sspId="199ab15d-996d-49bb-af37-1ae2e5a9148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4e29972-5c5e-47fe-ad12-00d039a17518"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2" nillable="true" ma:displayName="Taxonomy Catch All Column" ma:hidden="true" ma:list="{0a10be8c-9171-4d64-bd4a-46da42226ece}" ma:internalName="TaxCatchAll" ma:showField="CatchAllData" ma:web="b4e29972-5c5e-47fe-ad12-00d039a175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AE2180-0FD3-4E40-B6B7-5FAE5D0A6335}">
  <ds:schemaRefs>
    <ds:schemaRef ds:uri="http://schemas.microsoft.com/sharepoint/v3/contenttype/forms"/>
  </ds:schemaRefs>
</ds:datastoreItem>
</file>

<file path=customXml/itemProps2.xml><?xml version="1.0" encoding="utf-8"?>
<ds:datastoreItem xmlns:ds="http://schemas.openxmlformats.org/officeDocument/2006/customXml" ds:itemID="{589E3A97-6CDD-4942-A662-D580E21A7E61}">
  <ds:schemaRefs>
    <ds:schemaRef ds:uri="http://schemas.microsoft.com/office/2006/metadata/properties"/>
    <ds:schemaRef ds:uri="http://schemas.microsoft.com/office/infopath/2007/PartnerControls"/>
    <ds:schemaRef ds:uri="b4e29972-5c5e-47fe-ad12-00d039a17518"/>
    <ds:schemaRef ds:uri="39a99b76-c1ba-496d-a4ea-cabdd8ad772e"/>
  </ds:schemaRefs>
</ds:datastoreItem>
</file>

<file path=customXml/itemProps3.xml><?xml version="1.0" encoding="utf-8"?>
<ds:datastoreItem xmlns:ds="http://schemas.openxmlformats.org/officeDocument/2006/customXml" ds:itemID="{3D30D7EE-B986-40C0-A59B-13749F908A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a99b76-c1ba-496d-a4ea-cabdd8ad772e"/>
    <ds:schemaRef ds:uri="b4e29972-5c5e-47fe-ad12-00d039a175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1194</Words>
  <Characters>6568</Characters>
  <Application>Microsoft Office Word</Application>
  <DocSecurity>0</DocSecurity>
  <Lines>54</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7747</CharactersWithSpaces>
  <SharedDoc>false</SharedDoc>
  <HLinks>
    <vt:vector size="42" baseType="variant">
      <vt:variant>
        <vt:i4>1245232</vt:i4>
      </vt:variant>
      <vt:variant>
        <vt:i4>38</vt:i4>
      </vt:variant>
      <vt:variant>
        <vt:i4>0</vt:i4>
      </vt:variant>
      <vt:variant>
        <vt:i4>5</vt:i4>
      </vt:variant>
      <vt:variant>
        <vt:lpwstr/>
      </vt:variant>
      <vt:variant>
        <vt:lpwstr>_Toc222757566</vt:lpwstr>
      </vt:variant>
      <vt:variant>
        <vt:i4>1245232</vt:i4>
      </vt:variant>
      <vt:variant>
        <vt:i4>32</vt:i4>
      </vt:variant>
      <vt:variant>
        <vt:i4>0</vt:i4>
      </vt:variant>
      <vt:variant>
        <vt:i4>5</vt:i4>
      </vt:variant>
      <vt:variant>
        <vt:lpwstr/>
      </vt:variant>
      <vt:variant>
        <vt:lpwstr>_Toc222757565</vt:lpwstr>
      </vt:variant>
      <vt:variant>
        <vt:i4>1245232</vt:i4>
      </vt:variant>
      <vt:variant>
        <vt:i4>26</vt:i4>
      </vt:variant>
      <vt:variant>
        <vt:i4>0</vt:i4>
      </vt:variant>
      <vt:variant>
        <vt:i4>5</vt:i4>
      </vt:variant>
      <vt:variant>
        <vt:lpwstr/>
      </vt:variant>
      <vt:variant>
        <vt:lpwstr>_Toc222757564</vt:lpwstr>
      </vt:variant>
      <vt:variant>
        <vt:i4>1245232</vt:i4>
      </vt:variant>
      <vt:variant>
        <vt:i4>20</vt:i4>
      </vt:variant>
      <vt:variant>
        <vt:i4>0</vt:i4>
      </vt:variant>
      <vt:variant>
        <vt:i4>5</vt:i4>
      </vt:variant>
      <vt:variant>
        <vt:lpwstr/>
      </vt:variant>
      <vt:variant>
        <vt:lpwstr>_Toc222757563</vt:lpwstr>
      </vt:variant>
      <vt:variant>
        <vt:i4>1245232</vt:i4>
      </vt:variant>
      <vt:variant>
        <vt:i4>14</vt:i4>
      </vt:variant>
      <vt:variant>
        <vt:i4>0</vt:i4>
      </vt:variant>
      <vt:variant>
        <vt:i4>5</vt:i4>
      </vt:variant>
      <vt:variant>
        <vt:lpwstr/>
      </vt:variant>
      <vt:variant>
        <vt:lpwstr>_Toc222757562</vt:lpwstr>
      </vt:variant>
      <vt:variant>
        <vt:i4>1245232</vt:i4>
      </vt:variant>
      <vt:variant>
        <vt:i4>8</vt:i4>
      </vt:variant>
      <vt:variant>
        <vt:i4>0</vt:i4>
      </vt:variant>
      <vt:variant>
        <vt:i4>5</vt:i4>
      </vt:variant>
      <vt:variant>
        <vt:lpwstr/>
      </vt:variant>
      <vt:variant>
        <vt:lpwstr>_Toc222757561</vt:lpwstr>
      </vt:variant>
      <vt:variant>
        <vt:i4>1245232</vt:i4>
      </vt:variant>
      <vt:variant>
        <vt:i4>2</vt:i4>
      </vt:variant>
      <vt:variant>
        <vt:i4>0</vt:i4>
      </vt:variant>
      <vt:variant>
        <vt:i4>5</vt:i4>
      </vt:variant>
      <vt:variant>
        <vt:lpwstr/>
      </vt:variant>
      <vt:variant>
        <vt:lpwstr>_Toc222757560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Janneke Suijker - van den Berge</dc:creator>
  <cp:keywords/>
  <dc:description/>
  <cp:lastModifiedBy>Janneke Suijker - van den Berge</cp:lastModifiedBy>
  <cp:revision>21</cp:revision>
  <cp:lastPrinted>2022-06-10T07:56:00Z</cp:lastPrinted>
  <dcterms:created xsi:type="dcterms:W3CDTF">2026-05-01T13:14:00Z</dcterms:created>
  <dcterms:modified xsi:type="dcterms:W3CDTF">2026-05-18T08:56:00Z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0x01010077E62FD89A9D6642B77167C6B5BF1437</vt:lpwstr>
  </property>
  <property fmtid="{D5CDD505-2E9C-101B-9397-08002B2CF9AE}" pid="3" name="MediaServiceImageTags">
    <vt:lpwstr/>
  </property>
</Properties>
</file>